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87620665"/>
    </w:p>
    <w:p>
      <w:pPr>
        <w:autoSpaceDE w:val="0"/>
        <w:autoSpaceDN w:val="0"/>
        <w:adjustRightInd w:val="0"/>
        <w:snapToGrid w:val="0"/>
        <w:spacing w:line="360" w:lineRule="auto"/>
        <w:jc w:val="center"/>
        <w:rPr>
          <w:rFonts w:ascii="宋体" w:hAnsi="宋体"/>
          <w:color w:val="auto"/>
          <w:kern w:val="0"/>
          <w:sz w:val="20"/>
          <w:szCs w:val="20"/>
        </w:rPr>
      </w:pPr>
      <w:r>
        <w:rPr>
          <w:rFonts w:hint="eastAsia" w:ascii="宋体" w:hAnsi="宋体" w:eastAsia="宋体"/>
          <w:color w:val="auto"/>
          <w:sz w:val="32"/>
          <w:szCs w:val="32"/>
          <w:u w:val="single"/>
        </w:rPr>
        <w:t>重庆经开区范围内已建未移交道路及其它临时用工单位采购</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hint="eastAsia" w:ascii="宋体" w:hAnsi="宋体"/>
          <w:kern w:val="0"/>
          <w:sz w:val="72"/>
          <w:szCs w:val="72"/>
        </w:rPr>
        <w:t xml:space="preserve"> </w:t>
      </w:r>
      <w:r>
        <w:rPr>
          <w:rFonts w:ascii="宋体" w:hAnsi="宋体"/>
          <w:kern w:val="0"/>
          <w:sz w:val="72"/>
          <w:szCs w:val="72"/>
        </w:rPr>
        <w:t>工</w:t>
      </w:r>
      <w:r>
        <w:rPr>
          <w:rFonts w:hint="eastAsia" w:ascii="宋体" w:hAnsi="宋体"/>
          <w:kern w:val="0"/>
          <w:sz w:val="72"/>
          <w:szCs w:val="72"/>
        </w:rPr>
        <w:t xml:space="preserve"> 采 购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eastAsia="方正仿宋_GBK"/>
          <w:sz w:val="32"/>
          <w:szCs w:val="32"/>
          <w:u w:val="single"/>
        </w:rPr>
        <w:t>重庆经开区开发建设有限公司</w:t>
      </w:r>
      <w:r>
        <w:rPr>
          <w:rFonts w:ascii="宋体" w:hAnsi="宋体"/>
          <w:bCs/>
          <w:w w:val="99"/>
          <w:kern w:val="0"/>
          <w:sz w:val="28"/>
          <w:szCs w:val="28"/>
        </w:rPr>
        <w:t>（盖单位法人章）</w:t>
      </w:r>
    </w:p>
    <w:p>
      <w:pPr>
        <w:autoSpaceDE w:val="0"/>
        <w:autoSpaceDN w:val="0"/>
        <w:adjustRightInd w:val="0"/>
        <w:snapToGrid w:val="0"/>
        <w:spacing w:line="360" w:lineRule="auto"/>
        <w:jc w:val="center"/>
        <w:rPr>
          <w:rFonts w:ascii="宋体" w:hAnsi="宋体"/>
          <w:bCs/>
          <w:kern w:val="0"/>
          <w:sz w:val="20"/>
          <w:szCs w:val="20"/>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rPr>
          <w:rFonts w:ascii="宋体" w:hAnsi="宋体"/>
          <w:bCs/>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sectPr>
          <w:pgSz w:w="11907" w:h="16840"/>
          <w:pgMar w:top="1304" w:right="1134" w:bottom="1304" w:left="1304" w:header="851" w:footer="992" w:gutter="0"/>
          <w:pgNumType w:fmt="numberInDash" w:start="1"/>
          <w:cols w:space="720" w:num="1"/>
          <w:docGrid w:linePitch="312" w:charSpace="0"/>
        </w:sectPr>
      </w:pPr>
      <w:bookmarkStart w:id="1" w:name="_Toc536796736"/>
      <w:bookmarkStart w:id="2" w:name="_Toc536797277"/>
      <w:bookmarkStart w:id="3" w:name="_Toc13210649"/>
      <w:bookmarkStart w:id="4" w:name="_Toc536621766"/>
      <w:bookmarkStart w:id="5" w:name="_Toc509218549"/>
      <w:r>
        <w:rPr>
          <w:rFonts w:ascii="宋体" w:hAnsi="宋体"/>
          <w:bCs/>
          <w:spacing w:val="8"/>
          <w:kern w:val="0"/>
          <w:sz w:val="28"/>
          <w:szCs w:val="28"/>
          <w:u w:val="single"/>
        </w:rPr>
        <w:t>2023</w:t>
      </w:r>
      <w:r>
        <w:rPr>
          <w:rFonts w:ascii="宋体" w:hAnsi="宋体"/>
          <w:bCs/>
          <w:spacing w:val="8"/>
          <w:kern w:val="0"/>
          <w:sz w:val="28"/>
          <w:szCs w:val="28"/>
        </w:rPr>
        <w:t>年</w:t>
      </w:r>
      <w:r>
        <w:rPr>
          <w:rFonts w:ascii="宋体" w:hAnsi="宋体"/>
          <w:bCs/>
          <w:spacing w:val="8"/>
          <w:kern w:val="0"/>
          <w:sz w:val="28"/>
          <w:szCs w:val="28"/>
          <w:u w:val="single"/>
        </w:rPr>
        <w:t>5</w:t>
      </w:r>
      <w:r>
        <w:rPr>
          <w:rFonts w:ascii="宋体" w:hAnsi="宋体"/>
          <w:bCs/>
          <w:spacing w:val="8"/>
          <w:kern w:val="0"/>
          <w:sz w:val="28"/>
          <w:szCs w:val="28"/>
        </w:rPr>
        <w:t>月</w:t>
      </w:r>
      <w:bookmarkEnd w:id="1"/>
      <w:bookmarkEnd w:id="2"/>
      <w:bookmarkEnd w:id="3"/>
      <w:bookmarkEnd w:id="4"/>
      <w:bookmarkEnd w:id="5"/>
    </w:p>
    <w:bookmarkEnd w:id="0"/>
    <w:p>
      <w:pPr>
        <w:spacing w:line="360" w:lineRule="auto"/>
        <w:rPr>
          <w:rFonts w:ascii="宋体" w:hAnsi="宋体"/>
        </w:rPr>
      </w:pPr>
    </w:p>
    <w:p>
      <w:pPr>
        <w:pStyle w:val="3"/>
        <w:spacing w:before="0" w:after="0" w:line="480" w:lineRule="auto"/>
        <w:jc w:val="center"/>
        <w:rPr>
          <w:rFonts w:ascii="宋体" w:hAnsi="宋体"/>
          <w:sz w:val="52"/>
          <w:szCs w:val="52"/>
        </w:rPr>
      </w:pPr>
      <w:bookmarkStart w:id="6" w:name="_Toc509218690"/>
      <w:bookmarkStart w:id="7" w:name="_Toc29541"/>
      <w:r>
        <w:rPr>
          <w:rFonts w:hint="eastAsia" w:ascii="宋体" w:hAnsi="宋体"/>
          <w:sz w:val="52"/>
          <w:szCs w:val="52"/>
        </w:rPr>
        <w:t>第 一 卷</w:t>
      </w:r>
      <w:bookmarkEnd w:id="6"/>
      <w:bookmarkEnd w:id="7"/>
    </w:p>
    <w:p>
      <w:pPr>
        <w:spacing w:line="200" w:lineRule="exact"/>
        <w:rPr>
          <w:rFonts w:ascii="宋体" w:hAnsi="宋体"/>
        </w:rPr>
      </w:pPr>
      <w:r>
        <w:rPr>
          <w:rFonts w:ascii="宋体" w:hAnsi="宋体"/>
        </w:rPr>
        <w:br w:type="page"/>
      </w:r>
    </w:p>
    <w:p>
      <w:pPr>
        <w:pStyle w:val="3"/>
        <w:spacing w:line="360" w:lineRule="auto"/>
        <w:jc w:val="center"/>
        <w:rPr>
          <w:rFonts w:ascii="宋体" w:hAnsi="宋体"/>
          <w:snapToGrid w:val="0"/>
          <w:kern w:val="0"/>
        </w:rPr>
      </w:pPr>
      <w:bookmarkStart w:id="8" w:name="_Toc509218691"/>
      <w:bookmarkStart w:id="9" w:name="_Toc287620666"/>
      <w:bookmarkStart w:id="10" w:name="_Toc287607727"/>
      <w:bookmarkStart w:id="11" w:name="_Toc430530415"/>
      <w:bookmarkStart w:id="12" w:name="_Toc224103298"/>
      <w:bookmarkStart w:id="13" w:name="_Toc10868"/>
      <w:bookmarkStart w:id="14" w:name="_Toc277082535"/>
      <w:r>
        <w:rPr>
          <w:rFonts w:ascii="宋体" w:hAnsi="宋体"/>
          <w:snapToGrid w:val="0"/>
          <w:kern w:val="0"/>
        </w:rPr>
        <w:t xml:space="preserve">第一章  </w:t>
      </w:r>
      <w:r>
        <w:rPr>
          <w:rFonts w:hint="eastAsia" w:ascii="宋体" w:hAnsi="宋体"/>
          <w:snapToGrid w:val="0"/>
          <w:kern w:val="0"/>
        </w:rPr>
        <w:t>采购</w:t>
      </w:r>
      <w:r>
        <w:rPr>
          <w:rFonts w:ascii="宋体" w:hAnsi="宋体"/>
          <w:snapToGrid w:val="0"/>
          <w:kern w:val="0"/>
        </w:rPr>
        <w:t>公告</w:t>
      </w:r>
      <w:bookmarkEnd w:id="8"/>
      <w:bookmarkEnd w:id="9"/>
      <w:bookmarkEnd w:id="10"/>
      <w:bookmarkEnd w:id="11"/>
      <w:bookmarkEnd w:id="12"/>
      <w:bookmarkEnd w:id="13"/>
      <w:bookmarkEnd w:id="14"/>
    </w:p>
    <w:p>
      <w:pPr>
        <w:spacing w:line="360" w:lineRule="auto"/>
        <w:jc w:val="center"/>
        <w:rPr>
          <w:rFonts w:ascii="宋体" w:hAnsi="宋体"/>
          <w:snapToGrid w:val="0"/>
          <w:color w:val="auto"/>
          <w:w w:val="99"/>
          <w:kern w:val="0"/>
          <w:sz w:val="28"/>
          <w:szCs w:val="28"/>
          <w:highlight w:val="none"/>
        </w:rPr>
      </w:pPr>
      <w:r>
        <w:rPr>
          <w:rFonts w:hint="eastAsia" w:ascii="宋体" w:hAnsi="宋体"/>
          <w:snapToGrid w:val="0"/>
          <w:color w:val="auto"/>
          <w:w w:val="99"/>
          <w:kern w:val="0"/>
          <w:sz w:val="28"/>
          <w:szCs w:val="28"/>
          <w:highlight w:val="none"/>
        </w:rPr>
        <w:t>重庆经开区范围内已建未移交道路及其它临时用工单位采购</w:t>
      </w:r>
      <w:r>
        <w:rPr>
          <w:rFonts w:ascii="宋体" w:hAnsi="宋体"/>
          <w:snapToGrid w:val="0"/>
          <w:color w:val="auto"/>
          <w:w w:val="99"/>
          <w:kern w:val="0"/>
          <w:sz w:val="28"/>
          <w:szCs w:val="28"/>
          <w:highlight w:val="none"/>
        </w:rPr>
        <w:t>公告</w:t>
      </w:r>
    </w:p>
    <w:p>
      <w:pPr>
        <w:pStyle w:val="4"/>
        <w:spacing w:before="100" w:after="100" w:line="460" w:lineRule="exact"/>
        <w:rPr>
          <w:rFonts w:ascii="宋体" w:hAnsi="宋体"/>
          <w:snapToGrid w:val="0"/>
          <w:color w:val="auto"/>
          <w:sz w:val="28"/>
          <w:szCs w:val="28"/>
          <w:highlight w:val="none"/>
        </w:rPr>
      </w:pPr>
      <w:bookmarkStart w:id="15" w:name="_Toc277082536"/>
      <w:bookmarkStart w:id="16" w:name="_Toc6489"/>
      <w:bookmarkStart w:id="17" w:name="_Toc287607728"/>
      <w:bookmarkStart w:id="18" w:name="_Toc200359427"/>
      <w:bookmarkStart w:id="19" w:name="_Toc224103299"/>
      <w:bookmarkStart w:id="20" w:name="_Toc509218692"/>
      <w:bookmarkStart w:id="21" w:name="_Toc430530416"/>
      <w:bookmarkStart w:id="22" w:name="_Toc287620667"/>
      <w:bookmarkStart w:id="23" w:name="_Toc200359238"/>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采购</w:t>
      </w:r>
      <w:r>
        <w:rPr>
          <w:rFonts w:ascii="宋体" w:hAnsi="宋体"/>
          <w:snapToGrid w:val="0"/>
          <w:color w:val="auto"/>
          <w:sz w:val="28"/>
          <w:szCs w:val="28"/>
          <w:highlight w:val="none"/>
        </w:rPr>
        <w:t>条件</w:t>
      </w:r>
      <w:bookmarkEnd w:id="15"/>
      <w:bookmarkEnd w:id="16"/>
      <w:bookmarkEnd w:id="17"/>
      <w:bookmarkEnd w:id="18"/>
      <w:bookmarkEnd w:id="19"/>
      <w:bookmarkEnd w:id="20"/>
      <w:bookmarkEnd w:id="21"/>
      <w:bookmarkEnd w:id="22"/>
      <w:bookmarkEnd w:id="23"/>
    </w:p>
    <w:p>
      <w:pPr>
        <w:spacing w:line="360" w:lineRule="auto"/>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rPr>
        <w:t>采购</w:t>
      </w:r>
      <w:r>
        <w:rPr>
          <w:rFonts w:ascii="宋体" w:hAnsi="宋体"/>
          <w:snapToGrid w:val="0"/>
          <w:color w:val="auto"/>
          <w:kern w:val="0"/>
          <w:szCs w:val="21"/>
          <w:highlight w:val="none"/>
        </w:rPr>
        <w:t>项目</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重庆经开区范围内已建未移交道路及其它临时用工单位采购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重庆经开区开发建设有限公司 </w:t>
      </w:r>
      <w:r>
        <w:rPr>
          <w:rFonts w:ascii="宋体" w:hAnsi="宋体"/>
          <w:snapToGrid w:val="0"/>
          <w:color w:val="auto"/>
          <w:kern w:val="0"/>
          <w:szCs w:val="21"/>
          <w:highlight w:val="none"/>
        </w:rPr>
        <w:t>，建设资金</w:t>
      </w:r>
      <w:r>
        <w:rPr>
          <w:rFonts w:hint="eastAsia" w:ascii="宋体" w:hAnsi="宋体"/>
          <w:snapToGrid w:val="0"/>
          <w:color w:val="auto"/>
          <w:kern w:val="0"/>
          <w:szCs w:val="21"/>
          <w:highlight w:val="none"/>
          <w:u w:val="single"/>
        </w:rPr>
        <w:t>业主自筹</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采购</w:t>
      </w:r>
      <w:r>
        <w:rPr>
          <w:rFonts w:ascii="宋体" w:hAnsi="宋体"/>
          <w:snapToGrid w:val="0"/>
          <w:color w:val="auto"/>
          <w:kern w:val="0"/>
          <w:szCs w:val="21"/>
          <w:highlight w:val="none"/>
        </w:rPr>
        <w:t>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rPr>
        <w:t xml:space="preserve">  重庆经开区开发建设有限公司  </w:t>
      </w:r>
      <w:r>
        <w:rPr>
          <w:rFonts w:ascii="宋体" w:hAnsi="宋体"/>
          <w:snapToGrid w:val="0"/>
          <w:color w:val="auto"/>
          <w:kern w:val="0"/>
          <w:position w:val="-2"/>
          <w:szCs w:val="21"/>
          <w:highlight w:val="none"/>
        </w:rPr>
        <w:t>。项目已具备</w:t>
      </w:r>
      <w:r>
        <w:rPr>
          <w:rFonts w:hint="eastAsia" w:ascii="宋体" w:hAnsi="宋体"/>
          <w:snapToGrid w:val="0"/>
          <w:color w:val="auto"/>
          <w:kern w:val="0"/>
          <w:position w:val="-2"/>
          <w:szCs w:val="21"/>
          <w:highlight w:val="none"/>
        </w:rPr>
        <w:t>采购</w:t>
      </w:r>
      <w:r>
        <w:rPr>
          <w:rFonts w:ascii="宋体" w:hAnsi="宋体"/>
          <w:snapToGrid w:val="0"/>
          <w:color w:val="auto"/>
          <w:kern w:val="0"/>
          <w:position w:val="-2"/>
          <w:szCs w:val="21"/>
          <w:highlight w:val="none"/>
        </w:rPr>
        <w:t>条件，现对</w:t>
      </w:r>
      <w:r>
        <w:rPr>
          <w:rFonts w:hint="eastAsia" w:ascii="宋体" w:hAnsi="宋体"/>
          <w:snapToGrid w:val="0"/>
          <w:color w:val="auto"/>
          <w:kern w:val="0"/>
          <w:position w:val="-2"/>
          <w:szCs w:val="21"/>
          <w:highlight w:val="none"/>
          <w:u w:val="single"/>
        </w:rPr>
        <w:t>该项目的施工</w:t>
      </w:r>
      <w:r>
        <w:rPr>
          <w:rFonts w:ascii="宋体" w:hAnsi="宋体"/>
          <w:snapToGrid w:val="0"/>
          <w:color w:val="auto"/>
          <w:kern w:val="0"/>
          <w:position w:val="-2"/>
          <w:szCs w:val="21"/>
          <w:highlight w:val="none"/>
        </w:rPr>
        <w:t>进行</w:t>
      </w:r>
      <w:r>
        <w:rPr>
          <w:rFonts w:hint="eastAsia" w:ascii="宋体" w:hAnsi="宋体"/>
          <w:snapToGrid w:val="0"/>
          <w:color w:val="auto"/>
          <w:kern w:val="0"/>
          <w:position w:val="-2"/>
          <w:szCs w:val="21"/>
          <w:highlight w:val="none"/>
          <w:u w:val="single"/>
        </w:rPr>
        <w:t>竞争性</w:t>
      </w:r>
      <w:r>
        <w:rPr>
          <w:rFonts w:hint="eastAsia" w:ascii="宋体" w:hAnsi="宋体"/>
          <w:snapToGrid w:val="0"/>
          <w:color w:val="auto"/>
          <w:kern w:val="0"/>
          <w:position w:val="-2"/>
          <w:szCs w:val="21"/>
          <w:highlight w:val="none"/>
          <w:u w:val="single"/>
          <w:lang w:eastAsia="zh-CN"/>
        </w:rPr>
        <w:t>磋商</w:t>
      </w:r>
      <w:r>
        <w:rPr>
          <w:rFonts w:ascii="宋体" w:hAnsi="宋体"/>
          <w:snapToGrid w:val="0"/>
          <w:color w:val="auto"/>
          <w:kern w:val="0"/>
          <w:position w:val="-2"/>
          <w:szCs w:val="21"/>
          <w:highlight w:val="none"/>
        </w:rPr>
        <w:t>。</w:t>
      </w:r>
    </w:p>
    <w:p>
      <w:pPr>
        <w:pStyle w:val="4"/>
        <w:spacing w:before="100" w:after="100" w:line="460" w:lineRule="exact"/>
        <w:rPr>
          <w:rFonts w:ascii="宋体" w:hAnsi="宋体"/>
          <w:snapToGrid w:val="0"/>
          <w:color w:val="auto"/>
          <w:sz w:val="28"/>
          <w:szCs w:val="28"/>
          <w:highlight w:val="none"/>
        </w:rPr>
      </w:pPr>
      <w:bookmarkStart w:id="24" w:name="_Toc287607729"/>
      <w:bookmarkStart w:id="25" w:name="_Toc287620668"/>
      <w:bookmarkStart w:id="26" w:name="_Toc509218693"/>
      <w:bookmarkStart w:id="27" w:name="_Toc200359239"/>
      <w:bookmarkStart w:id="28" w:name="_Toc7267"/>
      <w:bookmarkStart w:id="29" w:name="_Toc430530417"/>
      <w:bookmarkStart w:id="30" w:name="_Toc277082537"/>
      <w:bookmarkStart w:id="31" w:name="_Toc200359428"/>
      <w:bookmarkStart w:id="32" w:name="_Toc224103300"/>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r>
        <w:rPr>
          <w:rFonts w:hint="eastAsia" w:ascii="宋体" w:hAnsi="宋体"/>
          <w:snapToGrid w:val="0"/>
          <w:color w:val="auto"/>
          <w:sz w:val="28"/>
          <w:szCs w:val="28"/>
          <w:highlight w:val="none"/>
        </w:rPr>
        <w:t>采购</w:t>
      </w:r>
      <w:r>
        <w:rPr>
          <w:rFonts w:ascii="宋体" w:hAnsi="宋体"/>
          <w:snapToGrid w:val="0"/>
          <w:color w:val="auto"/>
          <w:sz w:val="28"/>
          <w:szCs w:val="28"/>
          <w:highlight w:val="none"/>
        </w:rPr>
        <w:t>范围</w:t>
      </w:r>
      <w:bookmarkEnd w:id="24"/>
      <w:bookmarkEnd w:id="25"/>
      <w:bookmarkEnd w:id="26"/>
      <w:bookmarkEnd w:id="27"/>
      <w:bookmarkEnd w:id="28"/>
      <w:bookmarkEnd w:id="29"/>
      <w:bookmarkEnd w:id="30"/>
      <w:bookmarkEnd w:id="31"/>
      <w:bookmarkEnd w:id="32"/>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重庆</w:t>
      </w:r>
      <w:r>
        <w:rPr>
          <w:rFonts w:hint="eastAsia" w:ascii="宋体" w:hAnsi="宋体"/>
          <w:snapToGrid w:val="0"/>
          <w:color w:val="auto"/>
          <w:kern w:val="0"/>
          <w:szCs w:val="21"/>
          <w:highlight w:val="none"/>
          <w:u w:val="single"/>
          <w:lang w:eastAsia="zh-CN"/>
        </w:rPr>
        <w:t>经开区</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rPr>
        <w:t>经开区范围内临时用工及其他</w:t>
      </w:r>
      <w:r>
        <w:rPr>
          <w:rFonts w:hint="eastAsia" w:ascii="宋体" w:hAnsi="宋体"/>
          <w:snapToGrid w:val="0"/>
          <w:color w:val="auto"/>
          <w:kern w:val="0"/>
          <w:szCs w:val="21"/>
          <w:highlight w:val="none"/>
          <w:u w:val="single"/>
          <w:lang w:eastAsia="zh-CN"/>
        </w:rPr>
        <w:t>工作</w:t>
      </w:r>
    </w:p>
    <w:p>
      <w:pPr>
        <w:tabs>
          <w:tab w:val="left" w:pos="3840"/>
          <w:tab w:val="left" w:pos="5300"/>
        </w:tabs>
        <w:autoSpaceDE w:val="0"/>
        <w:autoSpaceDN w:val="0"/>
        <w:adjustRightInd w:val="0"/>
        <w:snapToGrid w:val="0"/>
        <w:spacing w:line="460" w:lineRule="exact"/>
        <w:ind w:firstLine="420" w:firstLineChars="200"/>
        <w:jc w:val="left"/>
        <w:rPr>
          <w:rFonts w:hint="default" w:eastAsia="方正仿宋_GBK"/>
          <w:color w:val="auto"/>
          <w:sz w:val="32"/>
          <w:szCs w:val="32"/>
          <w:highlight w:val="none"/>
          <w:lang w:val="en-US"/>
        </w:rPr>
      </w:pPr>
      <w:r>
        <w:rPr>
          <w:rFonts w:hint="eastAsia" w:ascii="宋体" w:hAnsi="宋体"/>
          <w:snapToGrid w:val="0"/>
          <w:color w:val="auto"/>
          <w:kern w:val="0"/>
          <w:szCs w:val="21"/>
          <w:highlight w:val="none"/>
        </w:rPr>
        <w:t>2.3 本次采购项目合同估算金额：</w:t>
      </w:r>
      <w:r>
        <w:rPr>
          <w:rFonts w:hint="eastAsia"/>
          <w:snapToGrid w:val="0"/>
          <w:color w:val="auto"/>
          <w:kern w:val="0"/>
          <w:szCs w:val="21"/>
          <w:highlight w:val="none"/>
          <w:u w:val="single"/>
          <w:lang w:val="en-US" w:eastAsia="zh-CN"/>
        </w:rPr>
        <w:t>350万元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采购范围：</w:t>
      </w:r>
      <w:r>
        <w:rPr>
          <w:rFonts w:hint="eastAsia" w:ascii="宋体" w:hAnsi="宋体"/>
          <w:snapToGrid w:val="0"/>
          <w:color w:val="auto"/>
          <w:kern w:val="0"/>
          <w:szCs w:val="21"/>
          <w:highlight w:val="none"/>
          <w:u w:val="single"/>
        </w:rPr>
        <w:t>重庆经开区范围内产生的突发性、应急性工作任务，</w:t>
      </w:r>
      <w:r>
        <w:rPr>
          <w:rFonts w:ascii="宋体" w:hAnsi="宋体"/>
          <w:snapToGrid w:val="0"/>
          <w:color w:val="auto"/>
          <w:kern w:val="0"/>
          <w:szCs w:val="21"/>
          <w:highlight w:val="none"/>
          <w:u w:val="single"/>
        </w:rPr>
        <w:t>具体以实际</w:t>
      </w:r>
      <w:r>
        <w:rPr>
          <w:rFonts w:hint="eastAsia" w:ascii="宋体" w:hAnsi="宋体"/>
          <w:snapToGrid w:val="0"/>
          <w:color w:val="auto"/>
          <w:kern w:val="0"/>
          <w:szCs w:val="21"/>
          <w:highlight w:val="none"/>
          <w:u w:val="single"/>
          <w:lang w:eastAsia="zh-CN"/>
        </w:rPr>
        <w:t>任务</w:t>
      </w:r>
      <w:r>
        <w:rPr>
          <w:rFonts w:ascii="宋体" w:hAnsi="宋体"/>
          <w:snapToGrid w:val="0"/>
          <w:color w:val="auto"/>
          <w:kern w:val="0"/>
          <w:szCs w:val="21"/>
          <w:highlight w:val="none"/>
          <w:u w:val="single"/>
        </w:rPr>
        <w:t>为准</w:t>
      </w:r>
      <w:r>
        <w:rPr>
          <w:rFonts w:hint="eastAsia" w:ascii="宋体" w:hAnsi="宋体"/>
          <w:snapToGrid w:val="0"/>
          <w:color w:val="auto"/>
          <w:kern w:val="0"/>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kern w:val="0"/>
          <w:szCs w:val="21"/>
        </w:rPr>
        <w:t>2.5 工期要求</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365</w:t>
      </w:r>
      <w:r>
        <w:rPr>
          <w:rFonts w:hint="eastAsia" w:ascii="宋体" w:hAnsi="宋体"/>
          <w:snapToGrid w:val="0"/>
          <w:color w:val="auto"/>
          <w:kern w:val="0"/>
          <w:szCs w:val="21"/>
          <w:highlight w:val="none"/>
          <w:u w:val="single"/>
        </w:rPr>
        <w:t>天</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kern w:val="0"/>
          <w:szCs w:val="21"/>
          <w:lang w:val="en-US" w:eastAsia="zh-CN"/>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lang w:val="en-US" w:eastAsia="zh-CN"/>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pPr>
        <w:pStyle w:val="4"/>
        <w:spacing w:before="100" w:after="100" w:line="460" w:lineRule="exact"/>
        <w:rPr>
          <w:rFonts w:ascii="宋体" w:hAnsi="宋体"/>
          <w:snapToGrid w:val="0"/>
          <w:sz w:val="28"/>
          <w:szCs w:val="28"/>
        </w:rPr>
      </w:pPr>
      <w:bookmarkStart w:id="33" w:name="_Toc200359429"/>
      <w:bookmarkStart w:id="34" w:name="_Toc16457"/>
      <w:bookmarkStart w:id="35" w:name="_Toc277082538"/>
      <w:bookmarkStart w:id="36" w:name="_Toc430530418"/>
      <w:bookmarkStart w:id="37" w:name="_Toc200359240"/>
      <w:bookmarkStart w:id="38" w:name="_Toc224103301"/>
      <w:bookmarkStart w:id="39" w:name="_Toc287607730"/>
      <w:bookmarkStart w:id="40" w:name="_Toc287620669"/>
      <w:bookmarkStart w:id="41" w:name="_Toc509218694"/>
      <w:r>
        <w:rPr>
          <w:rFonts w:ascii="宋体" w:hAnsi="宋体"/>
          <w:snapToGrid w:val="0"/>
          <w:sz w:val="28"/>
          <w:szCs w:val="28"/>
        </w:rPr>
        <w:t xml:space="preserve">3. </w:t>
      </w:r>
      <w:r>
        <w:rPr>
          <w:rFonts w:hint="eastAsia" w:ascii="宋体" w:hAnsi="宋体"/>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rPr>
        <w:t>采购</w:t>
      </w:r>
      <w:r>
        <w:rPr>
          <w:rFonts w:ascii="宋体" w:hAnsi="宋体"/>
          <w:snapToGrid w:val="0"/>
          <w:kern w:val="0"/>
          <w:szCs w:val="21"/>
        </w:rPr>
        <w:t>要求投标人须具备</w:t>
      </w:r>
      <w:r>
        <w:rPr>
          <w:rFonts w:hint="eastAsia" w:ascii="宋体" w:hAnsi="宋体"/>
          <w:snapToGrid w:val="0"/>
          <w:kern w:val="0"/>
          <w:szCs w:val="21"/>
        </w:rPr>
        <w:t>以下条件：</w:t>
      </w:r>
    </w:p>
    <w:p>
      <w:pPr>
        <w:ind w:firstLine="420" w:firstLineChars="200"/>
        <w:rPr>
          <w:rFonts w:ascii="宋体" w:hAnsi="宋体"/>
          <w:snapToGrid w:val="0"/>
          <w:color w:val="FF0000"/>
          <w:kern w:val="0"/>
          <w:szCs w:val="21"/>
          <w:u w:val="single"/>
        </w:rPr>
      </w:pPr>
      <w:r>
        <w:rPr>
          <w:rFonts w:hint="eastAsia" w:ascii="宋体" w:hAnsi="宋体"/>
          <w:snapToGrid w:val="0"/>
          <w:kern w:val="0"/>
          <w:szCs w:val="21"/>
        </w:rPr>
        <w:t>3.1.1 本次采购要求投标人具备的资质条件：</w:t>
      </w:r>
      <w:r>
        <w:rPr>
          <w:rFonts w:hint="eastAsia" w:ascii="宋体" w:hAnsi="宋体"/>
          <w:snapToGrid w:val="0"/>
          <w:color w:val="auto"/>
          <w:kern w:val="0"/>
          <w:szCs w:val="21"/>
          <w:u w:val="single"/>
        </w:rPr>
        <w:t>市政公用工程总承包叁级及以上</w:t>
      </w:r>
      <w:r>
        <w:rPr>
          <w:rFonts w:hint="eastAsia" w:ascii="宋体" w:hAnsi="宋体"/>
          <w:snapToGrid w:val="0"/>
          <w:color w:val="auto"/>
          <w:kern w:val="0"/>
          <w:szCs w:val="21"/>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rPr>
      </w:pPr>
      <w:r>
        <w:rPr>
          <w:rFonts w:hint="eastAsia" w:ascii="宋体" w:hAnsi="宋体"/>
          <w:snapToGrid w:val="0"/>
          <w:kern w:val="0"/>
          <w:szCs w:val="21"/>
        </w:rPr>
        <w:t>3.1.</w:t>
      </w:r>
      <w:r>
        <w:rPr>
          <w:rFonts w:ascii="宋体" w:hAnsi="宋体"/>
          <w:snapToGrid w:val="0"/>
          <w:kern w:val="0"/>
          <w:szCs w:val="21"/>
        </w:rPr>
        <w:t>2</w:t>
      </w:r>
      <w:r>
        <w:rPr>
          <w:rFonts w:hint="eastAsia" w:ascii="宋体" w:hAnsi="宋体"/>
          <w:snapToGrid w:val="0"/>
          <w:kern w:val="0"/>
          <w:szCs w:val="21"/>
        </w:rPr>
        <w:t xml:space="preserve"> 投标人还应在人员、设备、资金等方面具有相应的施工能力，详见采购文件第二章投标人须知前附表第1.4.1项内容。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rPr>
      </w:pPr>
      <w:r>
        <w:rPr>
          <w:rFonts w:ascii="宋体" w:hAnsi="宋体"/>
          <w:snapToGrid w:val="0"/>
          <w:kern w:val="0"/>
          <w:szCs w:val="21"/>
        </w:rPr>
        <w:t>3.2  本次</w:t>
      </w:r>
      <w:r>
        <w:rPr>
          <w:rFonts w:hint="eastAsia" w:ascii="宋体" w:hAnsi="宋体"/>
          <w:snapToGrid w:val="0"/>
          <w:kern w:val="0"/>
          <w:szCs w:val="21"/>
        </w:rPr>
        <w:t>采购不接受</w:t>
      </w:r>
      <w:r>
        <w:rPr>
          <w:rFonts w:ascii="宋体" w:hAnsi="宋体"/>
          <w:snapToGrid w:val="0"/>
          <w:kern w:val="0"/>
          <w:szCs w:val="21"/>
        </w:rPr>
        <w:t>联合体投标。</w:t>
      </w:r>
    </w:p>
    <w:p>
      <w:pPr>
        <w:pStyle w:val="4"/>
        <w:spacing w:before="100" w:after="100" w:line="460" w:lineRule="exact"/>
        <w:rPr>
          <w:rFonts w:ascii="宋体" w:hAnsi="宋体"/>
          <w:snapToGrid w:val="0"/>
          <w:sz w:val="28"/>
          <w:szCs w:val="28"/>
        </w:rPr>
      </w:pPr>
      <w:bookmarkStart w:id="42" w:name="_Toc224103302"/>
      <w:bookmarkStart w:id="43" w:name="_Toc430530419"/>
      <w:bookmarkStart w:id="44" w:name="_Toc287607731"/>
      <w:bookmarkStart w:id="45" w:name="_Toc287620670"/>
      <w:bookmarkStart w:id="46" w:name="_Toc14585"/>
      <w:bookmarkStart w:id="47" w:name="_Toc200359430"/>
      <w:bookmarkStart w:id="48" w:name="_Toc277082539"/>
      <w:bookmarkStart w:id="49" w:name="_Toc200359241"/>
      <w:bookmarkStart w:id="50" w:name="_Toc509218695"/>
      <w:r>
        <w:rPr>
          <w:rFonts w:ascii="宋体" w:hAnsi="宋体"/>
          <w:snapToGrid w:val="0"/>
          <w:sz w:val="28"/>
          <w:szCs w:val="28"/>
        </w:rPr>
        <w:t xml:space="preserve">4. </w:t>
      </w:r>
      <w:r>
        <w:rPr>
          <w:rFonts w:hint="eastAsia" w:ascii="宋体" w:hAnsi="宋体"/>
          <w:snapToGrid w:val="0"/>
          <w:sz w:val="28"/>
          <w:szCs w:val="28"/>
        </w:rPr>
        <w:t xml:space="preserve"> 采购</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4.1</w:t>
      </w: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自行递交采购文件</w:t>
      </w:r>
      <w:r>
        <w:rPr>
          <w:rFonts w:ascii="宋体" w:hAnsi="宋体"/>
          <w:snapToGrid w:val="0"/>
          <w:kern w:val="0"/>
          <w:szCs w:val="21"/>
        </w:rPr>
        <w:t>，投标人在投标前可在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fldChar w:fldCharType="end"/>
      </w:r>
      <w:r>
        <w:rPr>
          <w:rFonts w:hint="eastAsia" w:ascii="宋体" w:hAnsi="宋体"/>
          <w:snapToGrid w:val="0"/>
          <w:kern w:val="0"/>
          <w:szCs w:val="21"/>
          <w:u w:val="single"/>
        </w:rPr>
        <w:t>）</w:t>
      </w:r>
      <w:r>
        <w:rPr>
          <w:rFonts w:ascii="宋体" w:hAnsi="宋体"/>
          <w:snapToGrid w:val="0"/>
          <w:kern w:val="0"/>
          <w:szCs w:val="21"/>
        </w:rPr>
        <w:t>下载</w:t>
      </w:r>
      <w:r>
        <w:rPr>
          <w:rFonts w:hint="eastAsia" w:ascii="宋体" w:hAnsi="宋体"/>
          <w:snapToGrid w:val="0"/>
          <w:kern w:val="0"/>
          <w:szCs w:val="21"/>
        </w:rPr>
        <w:t>采购</w:t>
      </w:r>
      <w:r>
        <w:rPr>
          <w:rFonts w:ascii="宋体" w:hAnsi="宋体"/>
          <w:snapToGrid w:val="0"/>
          <w:kern w:val="0"/>
          <w:szCs w:val="21"/>
        </w:rPr>
        <w:t>文件、工程量清单、电子图纸等资料。</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  投标人可通过采购公告中的联系人及联系地址书</w:t>
      </w:r>
      <w:r>
        <w:rPr>
          <w:rFonts w:hint="eastAsia" w:ascii="宋体" w:hAnsi="宋体"/>
          <w:snapToGrid w:val="0"/>
          <w:color w:val="auto"/>
          <w:kern w:val="0"/>
          <w:szCs w:val="21"/>
        </w:rPr>
        <w:t>面递交对</w:t>
      </w:r>
      <w:r>
        <w:rPr>
          <w:rFonts w:hint="eastAsia" w:ascii="宋体" w:hAnsi="宋体"/>
          <w:snapToGrid w:val="0"/>
          <w:color w:val="auto"/>
          <w:kern w:val="0"/>
          <w:szCs w:val="21"/>
          <w:u w:val="single"/>
        </w:rPr>
        <w:t>重庆经开区范围内已建未移交道路及其它临时用工单位采购</w:t>
      </w:r>
      <w:r>
        <w:rPr>
          <w:rFonts w:hint="eastAsia" w:ascii="宋体" w:hAnsi="宋体"/>
          <w:snapToGrid w:val="0"/>
          <w:color w:val="auto"/>
          <w:kern w:val="0"/>
          <w:szCs w:val="21"/>
        </w:rPr>
        <w:t>提出疑问，提问</w:t>
      </w:r>
      <w:r>
        <w:rPr>
          <w:rFonts w:hint="eastAsia" w:ascii="宋体" w:hAnsi="宋体"/>
          <w:snapToGrid w:val="0"/>
          <w:kern w:val="0"/>
          <w:szCs w:val="21"/>
        </w:rPr>
        <w:t>截止时间为公告公示后第</w:t>
      </w:r>
      <w:r>
        <w:rPr>
          <w:rFonts w:hint="eastAsia" w:ascii="宋体" w:hAnsi="宋体"/>
          <w:snapToGrid w:val="0"/>
          <w:kern w:val="0"/>
          <w:szCs w:val="21"/>
          <w:lang w:eastAsia="zh-CN"/>
        </w:rPr>
        <w:t>一</w:t>
      </w:r>
      <w:r>
        <w:rPr>
          <w:rFonts w:hint="eastAsia" w:ascii="宋体" w:hAnsi="宋体"/>
          <w:snapToGrid w:val="0"/>
          <w:kern w:val="0"/>
          <w:szCs w:val="21"/>
        </w:rPr>
        <w:t>天。（提示：公告公示后第</w:t>
      </w:r>
      <w:r>
        <w:rPr>
          <w:rFonts w:hint="eastAsia" w:ascii="宋体" w:hAnsi="宋体"/>
          <w:snapToGrid w:val="0"/>
          <w:kern w:val="0"/>
          <w:szCs w:val="21"/>
          <w:lang w:eastAsia="zh-CN"/>
        </w:rPr>
        <w:t>一</w:t>
      </w:r>
      <w:r>
        <w:rPr>
          <w:rFonts w:hint="eastAsia" w:ascii="宋体" w:hAnsi="宋体"/>
          <w:snapToGrid w:val="0"/>
          <w:kern w:val="0"/>
          <w:szCs w:val="21"/>
        </w:rPr>
        <w:t>天结束后，不再接收任何书面质疑。）</w:t>
      </w:r>
    </w:p>
    <w:p>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rPr>
        <w:t>4.3  采购人应于</w:t>
      </w:r>
      <w:r>
        <w:rPr>
          <w:rFonts w:hint="eastAsia" w:ascii="宋体" w:hAnsi="宋体" w:cs="宋体"/>
          <w:kern w:val="0"/>
          <w:szCs w:val="21"/>
          <w:u w:val="single"/>
        </w:rPr>
        <w:t>公告公示后第</w:t>
      </w:r>
      <w:r>
        <w:rPr>
          <w:rFonts w:hint="eastAsia" w:ascii="宋体" w:hAnsi="宋体" w:cs="宋体"/>
          <w:kern w:val="0"/>
          <w:szCs w:val="21"/>
          <w:u w:val="single"/>
          <w:lang w:eastAsia="zh-CN"/>
        </w:rPr>
        <w:t>二</w:t>
      </w:r>
      <w:r>
        <w:rPr>
          <w:rFonts w:hint="eastAsia" w:ascii="宋体" w:hAnsi="宋体" w:cs="宋体"/>
          <w:kern w:val="0"/>
          <w:szCs w:val="21"/>
          <w:u w:val="single"/>
        </w:rPr>
        <w:t>天</w:t>
      </w:r>
      <w:r>
        <w:rPr>
          <w:rFonts w:hint="eastAsia" w:ascii="宋体" w:hAnsi="宋体"/>
          <w:snapToGrid w:val="0"/>
          <w:kern w:val="0"/>
          <w:szCs w:val="21"/>
        </w:rPr>
        <w:t>在重庆经开区投资集团官网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fldChar w:fldCharType="end"/>
      </w:r>
      <w:r>
        <w:rPr>
          <w:rFonts w:hint="eastAsia" w:ascii="宋体" w:hAnsi="宋体"/>
          <w:snapToGrid w:val="0"/>
          <w:kern w:val="0"/>
          <w:szCs w:val="21"/>
          <w:u w:val="single"/>
        </w:rPr>
        <w:t>）</w:t>
      </w:r>
      <w:r>
        <w:rPr>
          <w:rFonts w:hint="eastAsia" w:ascii="宋体" w:hAnsi="宋体"/>
          <w:snapToGrid w:val="0"/>
          <w:kern w:val="0"/>
          <w:szCs w:val="21"/>
        </w:rPr>
        <w:t>发布澄清。</w:t>
      </w:r>
    </w:p>
    <w:p>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p>
    <w:p>
      <w:pPr>
        <w:pStyle w:val="4"/>
        <w:spacing w:before="100" w:after="100" w:line="460" w:lineRule="exact"/>
        <w:rPr>
          <w:rFonts w:ascii="宋体" w:hAnsi="宋体"/>
          <w:snapToGrid w:val="0"/>
          <w:sz w:val="28"/>
          <w:szCs w:val="28"/>
        </w:rPr>
      </w:pPr>
      <w:bookmarkStart w:id="51" w:name="_Toc287607732"/>
      <w:bookmarkStart w:id="52" w:name="_Toc509218696"/>
      <w:bookmarkStart w:id="53" w:name="_Toc8046"/>
      <w:bookmarkStart w:id="54" w:name="_Toc200359431"/>
      <w:bookmarkStart w:id="55" w:name="_Toc200359242"/>
      <w:bookmarkStart w:id="56" w:name="_Toc287620671"/>
      <w:bookmarkStart w:id="57" w:name="_Toc224103303"/>
      <w:bookmarkStart w:id="58" w:name="_Toc277082540"/>
      <w:bookmarkStart w:id="59" w:name="_Toc430530420"/>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5.1  </w:t>
      </w:r>
      <w:r>
        <w:rPr>
          <w:rFonts w:ascii="宋体" w:hAnsi="宋体"/>
          <w:snapToGrid w:val="0"/>
          <w:color w:val="auto"/>
          <w:kern w:val="0"/>
          <w:szCs w:val="21"/>
        </w:rPr>
        <w:t>投标文件递交的截止时间</w:t>
      </w:r>
      <w:r>
        <w:rPr>
          <w:rFonts w:hint="eastAsia" w:ascii="宋体" w:hAnsi="宋体"/>
          <w:snapToGrid w:val="0"/>
          <w:color w:val="auto"/>
          <w:kern w:val="0"/>
          <w:szCs w:val="21"/>
          <w:highlight w:val="none"/>
        </w:rPr>
        <w:t>2023年5月</w:t>
      </w:r>
      <w:r>
        <w:rPr>
          <w:rFonts w:hint="eastAsia" w:ascii="宋体" w:hAnsi="宋体"/>
          <w:snapToGrid w:val="0"/>
          <w:color w:val="auto"/>
          <w:kern w:val="0"/>
          <w:szCs w:val="21"/>
          <w:highlight w:val="none"/>
          <w:lang w:val="en-US" w:eastAsia="zh-CN"/>
        </w:rPr>
        <w:t>22</w:t>
      </w:r>
      <w:r>
        <w:rPr>
          <w:rFonts w:hint="eastAsia" w:ascii="宋体" w:hAnsi="宋体"/>
          <w:snapToGrid w:val="0"/>
          <w:color w:val="auto"/>
          <w:kern w:val="0"/>
          <w:szCs w:val="21"/>
          <w:highlight w:val="none"/>
        </w:rPr>
        <w:t>日</w:t>
      </w:r>
      <w:r>
        <w:rPr>
          <w:rFonts w:hint="eastAsia" w:ascii="宋体" w:hAnsi="宋体"/>
          <w:snapToGrid w:val="0"/>
          <w:color w:val="auto"/>
          <w:kern w:val="0"/>
          <w:szCs w:val="21"/>
          <w:highlight w:val="none"/>
          <w:lang w:eastAsia="zh-CN"/>
        </w:rPr>
        <w:t>上午</w:t>
      </w:r>
      <w:r>
        <w:rPr>
          <w:rFonts w:hint="eastAsia" w:ascii="宋体" w:hAnsi="宋体"/>
          <w:snapToGrid w:val="0"/>
          <w:color w:val="auto"/>
          <w:kern w:val="0"/>
          <w:szCs w:val="21"/>
          <w:highlight w:val="none"/>
          <w:lang w:val="en-US" w:eastAsia="zh-CN"/>
        </w:rPr>
        <w:t>10:00</w:t>
      </w:r>
      <w:r>
        <w:rPr>
          <w:rFonts w:ascii="宋体" w:hAnsi="宋体"/>
          <w:snapToGrid w:val="0"/>
          <w:color w:val="auto"/>
          <w:kern w:val="0"/>
          <w:szCs w:val="21"/>
        </w:rPr>
        <w:t>，</w:t>
      </w:r>
      <w:r>
        <w:rPr>
          <w:rFonts w:hint="eastAsia" w:ascii="宋体" w:hAnsi="宋体"/>
          <w:snapToGrid w:val="0"/>
          <w:color w:val="auto"/>
          <w:kern w:val="0"/>
          <w:szCs w:val="21"/>
        </w:rPr>
        <w:t>投标人应当在投标截止时间前，递交至重庆市南岸区茶园江桥路一号</w:t>
      </w:r>
      <w:r>
        <w:rPr>
          <w:rFonts w:hint="eastAsia" w:ascii="宋体" w:hAnsi="宋体"/>
          <w:snapToGrid w:val="0"/>
          <w:color w:val="auto"/>
          <w:kern w:val="0"/>
          <w:szCs w:val="21"/>
          <w:highlight w:val="none"/>
        </w:rPr>
        <w:t>附1号</w:t>
      </w:r>
      <w:r>
        <w:rPr>
          <w:rFonts w:hint="eastAsia" w:ascii="宋体" w:hAnsi="宋体"/>
          <w:snapToGrid w:val="0"/>
          <w:color w:val="auto"/>
          <w:kern w:val="0"/>
          <w:szCs w:val="21"/>
          <w:highlight w:val="none"/>
          <w:lang w:val="en-US" w:eastAsia="zh-CN"/>
        </w:rPr>
        <w:t>1407</w:t>
      </w:r>
      <w:r>
        <w:rPr>
          <w:rFonts w:hint="eastAsia" w:ascii="宋体" w:hAnsi="宋体"/>
          <w:snapToGrid w:val="0"/>
          <w:color w:val="auto"/>
          <w:kern w:val="0"/>
          <w:szCs w:val="21"/>
          <w:highlight w:val="none"/>
        </w:rPr>
        <w:t>办公室。</w:t>
      </w:r>
    </w:p>
    <w:p>
      <w:pPr>
        <w:pStyle w:val="4"/>
        <w:spacing w:before="100" w:after="100" w:line="460" w:lineRule="exact"/>
        <w:rPr>
          <w:rFonts w:ascii="宋体" w:hAnsi="宋体"/>
          <w:snapToGrid w:val="0"/>
          <w:sz w:val="28"/>
          <w:szCs w:val="28"/>
        </w:rPr>
      </w:pPr>
      <w:bookmarkStart w:id="60" w:name="_Toc277082542"/>
      <w:bookmarkStart w:id="61" w:name="_Toc18038"/>
      <w:bookmarkStart w:id="62" w:name="_Toc224103305"/>
      <w:bookmarkStart w:id="63" w:name="_Toc509218698"/>
      <w:bookmarkStart w:id="64" w:name="_Toc430530422"/>
      <w:bookmarkStart w:id="65" w:name="_Toc287620673"/>
      <w:bookmarkStart w:id="66" w:name="_Toc287607734"/>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bookmarkStart w:id="654" w:name="_GoBack"/>
      <w:bookmarkEnd w:id="654"/>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蔺老师</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rPr>
        <w:t>（023）62633023</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pPr>
        <w:wordWrap w:val="0"/>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color w:val="auto"/>
          <w:kern w:val="0"/>
          <w:szCs w:val="21"/>
          <w:u w:val="single"/>
        </w:rPr>
        <w:t>2023</w:t>
      </w:r>
      <w:r>
        <w:rPr>
          <w:rFonts w:ascii="宋体" w:hAnsi="宋体"/>
          <w:snapToGrid w:val="0"/>
          <w:color w:val="auto"/>
          <w:kern w:val="0"/>
          <w:szCs w:val="21"/>
        </w:rPr>
        <w:t>年</w:t>
      </w:r>
      <w:r>
        <w:rPr>
          <w:rFonts w:hint="eastAsia" w:ascii="宋体" w:hAnsi="宋体"/>
          <w:snapToGrid w:val="0"/>
          <w:color w:val="auto"/>
          <w:kern w:val="0"/>
          <w:szCs w:val="21"/>
          <w:u w:val="single"/>
        </w:rPr>
        <w:t xml:space="preserve"> </w:t>
      </w:r>
      <w:r>
        <w:rPr>
          <w:rFonts w:ascii="宋体" w:hAnsi="宋体"/>
          <w:snapToGrid w:val="0"/>
          <w:color w:val="auto"/>
          <w:kern w:val="0"/>
          <w:szCs w:val="21"/>
          <w:u w:val="single"/>
        </w:rPr>
        <w:t>5</w:t>
      </w:r>
      <w:r>
        <w:rPr>
          <w:rFonts w:ascii="宋体" w:hAnsi="宋体"/>
          <w:snapToGrid w:val="0"/>
          <w:color w:val="auto"/>
          <w:kern w:val="0"/>
          <w:szCs w:val="21"/>
        </w:rPr>
        <w:t>月</w:t>
      </w:r>
      <w:r>
        <w:rPr>
          <w:rFonts w:hint="eastAsia" w:ascii="宋体" w:hAnsi="宋体"/>
          <w:snapToGrid w:val="0"/>
          <w:color w:val="auto"/>
          <w:kern w:val="0"/>
          <w:szCs w:val="21"/>
          <w:u w:val="single"/>
          <w:lang w:val="en-US" w:eastAsia="zh-CN"/>
        </w:rPr>
        <w:t>9</w:t>
      </w:r>
      <w:r>
        <w:rPr>
          <w:rFonts w:ascii="宋体" w:hAnsi="宋体"/>
          <w:snapToGrid w:val="0"/>
          <w:color w:val="auto"/>
          <w:kern w:val="0"/>
          <w:szCs w:val="21"/>
        </w:rPr>
        <w:t>日</w:t>
      </w:r>
      <w:r>
        <w:rPr>
          <w:rFonts w:hint="eastAsia" w:ascii="宋体" w:hAnsi="宋体"/>
          <w:snapToGrid w:val="0"/>
          <w:color w:val="auto"/>
          <w:kern w:val="0"/>
          <w:szCs w:val="21"/>
        </w:rPr>
        <w:t xml:space="preserve"> </w:t>
      </w:r>
      <w:r>
        <w:rPr>
          <w:rFonts w:hint="eastAsia" w:ascii="宋体" w:hAnsi="宋体"/>
          <w:snapToGrid w:val="0"/>
          <w:kern w:val="0"/>
          <w:szCs w:val="21"/>
        </w:rPr>
        <w:t xml:space="preserve"> </w:t>
      </w:r>
    </w:p>
    <w:p>
      <w:pPr>
        <w:pStyle w:val="3"/>
        <w:spacing w:before="0" w:after="0" w:line="592" w:lineRule="exact"/>
        <w:rPr>
          <w:rFonts w:ascii="宋体" w:hAnsi="宋体"/>
          <w:snapToGrid w:val="0"/>
          <w:kern w:val="0"/>
          <w:szCs w:val="21"/>
        </w:rPr>
      </w:pPr>
      <w:r>
        <w:rPr>
          <w:rFonts w:ascii="宋体" w:hAnsi="宋体"/>
          <w:snapToGrid w:val="0"/>
          <w:kern w:val="0"/>
          <w:szCs w:val="21"/>
        </w:rPr>
        <w:br w:type="page"/>
      </w:r>
      <w:bookmarkStart w:id="67" w:name="_Toc287620683"/>
      <w:bookmarkStart w:id="68" w:name="_Toc430530432"/>
      <w:bookmarkStart w:id="69" w:name="_Toc224103315"/>
      <w:bookmarkStart w:id="70" w:name="_Toc287607744"/>
      <w:bookmarkStart w:id="71" w:name="_Toc28381"/>
      <w:r>
        <w:rPr>
          <w:rFonts w:ascii="宋体" w:hAnsi="宋体"/>
          <w:snapToGrid w:val="0"/>
          <w:kern w:val="0"/>
        </w:rPr>
        <w:t>第二章  投标人须知</w:t>
      </w:r>
      <w:bookmarkEnd w:id="67"/>
      <w:bookmarkEnd w:id="68"/>
      <w:bookmarkEnd w:id="69"/>
      <w:bookmarkEnd w:id="70"/>
      <w:bookmarkEnd w:id="71"/>
      <w:bookmarkStart w:id="72" w:name="_Toc277082551"/>
      <w:bookmarkStart w:id="73" w:name="_Toc430530433"/>
      <w:bookmarkStart w:id="74" w:name="_Toc287620684"/>
      <w:bookmarkStart w:id="75" w:name="_Toc224103316"/>
      <w:bookmarkStart w:id="76" w:name="_Toc287607745"/>
    </w:p>
    <w:p>
      <w:pPr>
        <w:pStyle w:val="4"/>
        <w:spacing w:before="100" w:after="100" w:line="592" w:lineRule="exact"/>
        <w:rPr>
          <w:rFonts w:ascii="宋体" w:hAnsi="宋体"/>
        </w:rPr>
      </w:pPr>
      <w:bookmarkStart w:id="77" w:name="_Toc509218708"/>
      <w:bookmarkStart w:id="78" w:name="_Toc32562"/>
      <w:r>
        <w:rPr>
          <w:rFonts w:hint="eastAsia" w:ascii="宋体" w:hAnsi="宋体"/>
        </w:rPr>
        <w:t>投标人须知前附表</w:t>
      </w:r>
      <w:bookmarkEnd w:id="72"/>
      <w:bookmarkEnd w:id="73"/>
      <w:bookmarkEnd w:id="74"/>
      <w:bookmarkEnd w:id="75"/>
      <w:bookmarkEnd w:id="76"/>
      <w:bookmarkEnd w:id="77"/>
      <w:bookmarkEnd w:id="78"/>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6"/>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w:t>
            </w:r>
          </w:p>
        </w:tc>
        <w:tc>
          <w:tcPr>
            <w:tcW w:w="6683" w:type="dxa"/>
            <w:vAlign w:val="center"/>
          </w:tcPr>
          <w:p>
            <w:pPr>
              <w:snapToGrid w:val="0"/>
              <w:spacing w:line="400" w:lineRule="exact"/>
              <w:rPr>
                <w:rFonts w:ascii="宋体" w:hAnsi="宋体"/>
                <w:kern w:val="0"/>
                <w:szCs w:val="21"/>
              </w:rPr>
            </w:pPr>
            <w:r>
              <w:rPr>
                <w:rFonts w:ascii="宋体" w:hAnsi="宋体"/>
                <w:kern w:val="0"/>
                <w:szCs w:val="21"/>
              </w:rPr>
              <w:t>名称：重庆经开区开发建设有限公司</w:t>
            </w:r>
          </w:p>
          <w:p>
            <w:pPr>
              <w:snapToGrid w:val="0"/>
              <w:spacing w:line="400" w:lineRule="exact"/>
              <w:rPr>
                <w:rFonts w:ascii="宋体" w:hAnsi="宋体"/>
                <w:kern w:val="0"/>
                <w:szCs w:val="21"/>
              </w:rPr>
            </w:pPr>
            <w:r>
              <w:rPr>
                <w:rFonts w:ascii="宋体" w:hAnsi="宋体"/>
                <w:kern w:val="0"/>
                <w:szCs w:val="21"/>
              </w:rPr>
              <w:t>地址：</w:t>
            </w:r>
            <w:r>
              <w:rPr>
                <w:rFonts w:hint="eastAsia" w:ascii="宋体" w:hAnsi="宋体"/>
                <w:snapToGrid w:val="0"/>
                <w:kern w:val="0"/>
                <w:szCs w:val="21"/>
              </w:rPr>
              <w:t>重庆市南岸区茶园江桥路一号附1号</w:t>
            </w:r>
          </w:p>
          <w:p>
            <w:pPr>
              <w:snapToGrid w:val="0"/>
              <w:spacing w:line="400" w:lineRule="exact"/>
              <w:rPr>
                <w:rFonts w:ascii="宋体" w:hAnsi="宋体"/>
                <w:kern w:val="0"/>
                <w:szCs w:val="21"/>
              </w:rPr>
            </w:pPr>
            <w:r>
              <w:rPr>
                <w:rFonts w:ascii="宋体" w:hAnsi="宋体"/>
                <w:kern w:val="0"/>
                <w:szCs w:val="21"/>
              </w:rPr>
              <w:t>联系人：</w:t>
            </w:r>
            <w:r>
              <w:rPr>
                <w:rFonts w:hint="eastAsia" w:ascii="宋体" w:hAnsi="宋体"/>
                <w:kern w:val="0"/>
                <w:szCs w:val="21"/>
              </w:rPr>
              <w:t>蔺老师</w:t>
            </w:r>
          </w:p>
          <w:p>
            <w:pPr>
              <w:snapToGrid w:val="0"/>
              <w:spacing w:line="400" w:lineRule="exact"/>
              <w:rPr>
                <w:rFonts w:ascii="宋体" w:hAnsi="宋体"/>
                <w:kern w:val="0"/>
                <w:szCs w:val="21"/>
              </w:rPr>
            </w:pPr>
            <w:r>
              <w:rPr>
                <w:rFonts w:ascii="宋体" w:hAnsi="宋体"/>
                <w:kern w:val="0"/>
                <w:szCs w:val="21"/>
              </w:rPr>
              <w:t>电话：</w:t>
            </w:r>
            <w:r>
              <w:rPr>
                <w:rFonts w:hint="eastAsia" w:ascii="宋体" w:hAnsi="宋体"/>
                <w:kern w:val="0"/>
                <w:szCs w:val="21"/>
              </w:rPr>
              <w:t>（023）62633023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项目名称</w:t>
            </w:r>
          </w:p>
        </w:tc>
        <w:tc>
          <w:tcPr>
            <w:tcW w:w="6683" w:type="dxa"/>
            <w:vAlign w:val="center"/>
          </w:tcPr>
          <w:p>
            <w:pPr>
              <w:snapToGrid w:val="0"/>
              <w:spacing w:line="400" w:lineRule="exact"/>
              <w:jc w:val="left"/>
              <w:rPr>
                <w:rFonts w:ascii="宋体" w:hAnsi="宋体"/>
                <w:color w:val="auto"/>
                <w:szCs w:val="21"/>
              </w:rPr>
            </w:pPr>
            <w:r>
              <w:rPr>
                <w:rFonts w:hint="eastAsia" w:ascii="宋体" w:hAnsi="宋体"/>
                <w:snapToGrid w:val="0"/>
                <w:color w:val="auto"/>
                <w:kern w:val="0"/>
                <w:szCs w:val="21"/>
                <w:u w:val="single"/>
              </w:rPr>
              <w:t>重庆经开区范围内已建未移交道路及其它临时用工单位采购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建设地点</w:t>
            </w:r>
          </w:p>
        </w:tc>
        <w:tc>
          <w:tcPr>
            <w:tcW w:w="6683" w:type="dxa"/>
            <w:vAlign w:val="center"/>
          </w:tcPr>
          <w:p>
            <w:pPr>
              <w:snapToGrid w:val="0"/>
              <w:spacing w:line="400" w:lineRule="exact"/>
              <w:jc w:val="left"/>
              <w:rPr>
                <w:rFonts w:ascii="宋体" w:hAnsi="宋体"/>
                <w:color w:val="auto"/>
                <w:szCs w:val="21"/>
              </w:rPr>
            </w:pPr>
            <w:r>
              <w:rPr>
                <w:rFonts w:hint="eastAsia" w:ascii="宋体" w:hAnsi="宋体"/>
                <w:snapToGrid w:val="0"/>
                <w:color w:val="auto"/>
                <w:kern w:val="0"/>
                <w:szCs w:val="21"/>
                <w:u w:val="single"/>
              </w:rPr>
              <w:t>重庆市</w:t>
            </w:r>
            <w:r>
              <w:rPr>
                <w:rFonts w:hint="eastAsia" w:ascii="宋体" w:hAnsi="宋体"/>
                <w:snapToGrid w:val="0"/>
                <w:color w:val="auto"/>
                <w:kern w:val="0"/>
                <w:szCs w:val="21"/>
                <w:u w:val="single"/>
                <w:lang w:eastAsia="zh-CN"/>
              </w:rPr>
              <w:t>经开区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5</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建设规模</w:t>
            </w:r>
          </w:p>
        </w:tc>
        <w:tc>
          <w:tcPr>
            <w:tcW w:w="6683"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u w:val="single"/>
              </w:rPr>
            </w:pPr>
            <w:r>
              <w:rPr>
                <w:rFonts w:hint="eastAsia" w:ascii="宋体" w:hAnsi="宋体"/>
                <w:snapToGrid w:val="0"/>
                <w:color w:val="auto"/>
                <w:kern w:val="0"/>
                <w:szCs w:val="21"/>
                <w:u w:val="single"/>
              </w:rPr>
              <w:t>经开区范围内临时用工及其他工作</w:t>
            </w:r>
            <w:r>
              <w:rPr>
                <w:rFonts w:ascii="宋体" w:hAnsi="宋体"/>
                <w:snapToGrid w:val="0"/>
                <w:color w:val="auto"/>
                <w:kern w:val="0"/>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6</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资金来源</w:t>
            </w:r>
          </w:p>
        </w:tc>
        <w:tc>
          <w:tcPr>
            <w:tcW w:w="6683" w:type="dxa"/>
            <w:vAlign w:val="center"/>
          </w:tcPr>
          <w:p>
            <w:pPr>
              <w:tabs>
                <w:tab w:val="left" w:pos="3840"/>
                <w:tab w:val="left" w:pos="5300"/>
              </w:tabs>
              <w:autoSpaceDE w:val="0"/>
              <w:autoSpaceDN w:val="0"/>
              <w:adjustRightInd w:val="0"/>
              <w:snapToGrid w:val="0"/>
              <w:spacing w:line="46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u w:val="single"/>
              </w:rPr>
              <w:t xml:space="preserve"> 业主自筹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7</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pPr>
              <w:snapToGrid w:val="0"/>
              <w:spacing w:line="400" w:lineRule="exact"/>
              <w:jc w:val="left"/>
              <w:rPr>
                <w:rFonts w:ascii="宋体" w:hAnsi="宋体"/>
                <w:color w:val="auto"/>
                <w:szCs w:val="21"/>
                <w:u w:val="single"/>
              </w:rPr>
            </w:pPr>
            <w:r>
              <w:rPr>
                <w:rFonts w:hint="eastAsia" w:ascii="宋体" w:hAnsi="宋体"/>
                <w:color w:val="auto"/>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8</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pPr>
              <w:snapToGrid w:val="0"/>
              <w:spacing w:line="400" w:lineRule="exact"/>
              <w:jc w:val="left"/>
              <w:rPr>
                <w:rFonts w:ascii="宋体" w:hAnsi="宋体"/>
                <w:color w:val="auto"/>
                <w:szCs w:val="21"/>
                <w:u w:val="single"/>
              </w:rPr>
            </w:pPr>
            <w:r>
              <w:rPr>
                <w:rFonts w:hint="eastAsia" w:ascii="宋体" w:hAnsi="宋体"/>
                <w:color w:val="auto"/>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范围</w:t>
            </w:r>
          </w:p>
        </w:tc>
        <w:tc>
          <w:tcPr>
            <w:tcW w:w="6683" w:type="dxa"/>
            <w:vAlign w:val="center"/>
          </w:tcPr>
          <w:p>
            <w:pPr>
              <w:snapToGrid w:val="0"/>
              <w:spacing w:line="400" w:lineRule="exact"/>
              <w:rPr>
                <w:rFonts w:ascii="宋体" w:hAnsi="宋体"/>
                <w:snapToGrid w:val="0"/>
                <w:color w:val="auto"/>
                <w:kern w:val="0"/>
                <w:szCs w:val="21"/>
                <w:u w:val="single"/>
              </w:rPr>
            </w:pPr>
            <w:r>
              <w:rPr>
                <w:rFonts w:hint="eastAsia" w:ascii="宋体" w:hAnsi="宋体"/>
                <w:snapToGrid w:val="0"/>
                <w:color w:val="auto"/>
                <w:kern w:val="0"/>
                <w:szCs w:val="21"/>
                <w:u w:val="single"/>
              </w:rPr>
              <w:t>施工部分：重庆经开区范围内产生的突发性、应急性工作任务，具体以实际任务为准。</w:t>
            </w:r>
          </w:p>
          <w:p>
            <w:pPr>
              <w:snapToGrid w:val="0"/>
              <w:spacing w:line="400" w:lineRule="exact"/>
              <w:rPr>
                <w:rFonts w:ascii="宋体" w:hAns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计划工期</w:t>
            </w:r>
          </w:p>
          <w:p>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683" w:type="dxa"/>
            <w:vAlign w:val="center"/>
          </w:tcPr>
          <w:p>
            <w:pPr>
              <w:snapToGrid w:val="0"/>
              <w:spacing w:line="400" w:lineRule="exact"/>
              <w:rPr>
                <w:rFonts w:ascii="宋体" w:hAnsi="宋体"/>
                <w:snapToGrid w:val="0"/>
                <w:color w:val="auto"/>
                <w:kern w:val="0"/>
                <w:szCs w:val="21"/>
                <w:u w:val="single"/>
              </w:rPr>
            </w:pPr>
            <w:r>
              <w:rPr>
                <w:rFonts w:hint="eastAsia" w:ascii="宋体" w:hAnsi="宋体"/>
                <w:color w:val="auto"/>
                <w:kern w:val="0"/>
                <w:szCs w:val="21"/>
              </w:rPr>
              <w:t>工期：</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365</w:t>
            </w:r>
            <w:r>
              <w:rPr>
                <w:rFonts w:hint="eastAsia" w:ascii="宋体" w:hAnsi="宋体"/>
                <w:snapToGrid w:val="0"/>
                <w:color w:val="auto"/>
                <w:kern w:val="0"/>
                <w:szCs w:val="21"/>
                <w:u w:val="single"/>
              </w:rPr>
              <w:t>天</w:t>
            </w:r>
          </w:p>
          <w:p>
            <w:pPr>
              <w:snapToGrid w:val="0"/>
              <w:spacing w:line="400" w:lineRule="exact"/>
              <w:rPr>
                <w:rFonts w:hint="default" w:ascii="宋体" w:hAnsi="宋体" w:eastAsia="宋体"/>
                <w:color w:val="auto"/>
                <w:kern w:val="0"/>
                <w:szCs w:val="21"/>
                <w:lang w:val="en-US" w:eastAsia="zh-CN"/>
              </w:rPr>
            </w:pPr>
            <w:r>
              <w:rPr>
                <w:rFonts w:hint="eastAsia" w:ascii="宋体" w:hAnsi="宋体"/>
                <w:color w:val="auto"/>
                <w:kern w:val="0"/>
                <w:szCs w:val="21"/>
              </w:rPr>
              <w:t>缺陷责任期：</w:t>
            </w:r>
            <w:r>
              <w:rPr>
                <w:rFonts w:hint="eastAsia" w:ascii="宋体" w:hAnsi="宋体"/>
                <w:snapToGrid w:val="0"/>
                <w:color w:val="auto"/>
                <w:kern w:val="0"/>
                <w:szCs w:val="21"/>
                <w:u w:val="single"/>
              </w:rPr>
              <w:t xml:space="preserve">  </w:t>
            </w:r>
            <w:r>
              <w:rPr>
                <w:rFonts w:hint="eastAsia" w:ascii="宋体" w:hAnsi="宋体"/>
                <w:snapToGrid w:val="0"/>
                <w:color w:val="auto"/>
                <w:kern w:val="0"/>
                <w:szCs w:val="21"/>
                <w:u w:val="single"/>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pPr>
              <w:snapToGrid w:val="0"/>
              <w:spacing w:line="400" w:lineRule="exact"/>
              <w:rPr>
                <w:rFonts w:ascii="宋体" w:hAnsi="宋体"/>
                <w:color w:val="auto"/>
                <w:szCs w:val="21"/>
              </w:rPr>
            </w:pPr>
            <w:r>
              <w:rPr>
                <w:rFonts w:hint="eastAsia" w:ascii="宋体" w:hAnsi="宋体"/>
                <w:color w:val="auto"/>
                <w:szCs w:val="21"/>
              </w:rPr>
              <w:t>符合强制性质量标准，</w:t>
            </w:r>
            <w:r>
              <w:rPr>
                <w:rFonts w:hint="eastAsia" w:ascii="宋体" w:hAnsi="宋体"/>
                <w:color w:val="auto"/>
                <w:szCs w:val="21"/>
                <w:u w:val="single"/>
              </w:rPr>
              <w:t>符合</w:t>
            </w:r>
            <w:r>
              <w:rPr>
                <w:rFonts w:ascii="宋体" w:hAnsi="宋体"/>
                <w:color w:val="auto"/>
                <w:szCs w:val="21"/>
                <w:u w:val="single"/>
              </w:rPr>
              <w:t>国家和重庆市现行有关施工质量验收规范要求，并达到合格标准</w:t>
            </w:r>
            <w:r>
              <w:rPr>
                <w:rFonts w:ascii="宋体" w:hAnsi="宋体"/>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3" w:hRule="atLeast"/>
          <w:jc w:val="center"/>
        </w:trPr>
        <w:tc>
          <w:tcPr>
            <w:tcW w:w="1240"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1.4.1</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rPr>
                <w:rFonts w:ascii="宋体" w:hAnsi="宋体"/>
                <w:kern w:val="0"/>
                <w:szCs w:val="21"/>
              </w:rPr>
            </w:pPr>
          </w:p>
          <w:p>
            <w:pPr>
              <w:snapToGrid w:val="0"/>
              <w:spacing w:line="400" w:lineRule="exact"/>
              <w:rPr>
                <w:rFonts w:ascii="宋体" w:hAnsi="宋体"/>
                <w:kern w:val="0"/>
                <w:szCs w:val="21"/>
              </w:rPr>
            </w:pPr>
          </w:p>
        </w:tc>
        <w:tc>
          <w:tcPr>
            <w:tcW w:w="1451"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r>
              <w:rPr>
                <w:rFonts w:ascii="宋体" w:hAnsi="宋体"/>
                <w:kern w:val="0"/>
                <w:szCs w:val="21"/>
              </w:rPr>
              <w:t>投标人资质条件、能力和信誉</w:t>
            </w: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rPr>
                <w:rFonts w:ascii="宋体" w:hAnsi="宋体"/>
                <w:kern w:val="0"/>
                <w:szCs w:val="21"/>
              </w:rPr>
            </w:pPr>
          </w:p>
        </w:tc>
        <w:tc>
          <w:tcPr>
            <w:tcW w:w="6683" w:type="dxa"/>
            <w:vAlign w:val="center"/>
          </w:tcPr>
          <w:p>
            <w:pPr>
              <w:autoSpaceDE w:val="0"/>
              <w:autoSpaceDN w:val="0"/>
              <w:adjustRightInd w:val="0"/>
              <w:snapToGrid w:val="0"/>
              <w:spacing w:line="400" w:lineRule="exact"/>
              <w:rPr>
                <w:color w:val="auto"/>
                <w:highlight w:val="none"/>
              </w:rPr>
            </w:pPr>
            <w:bookmarkStart w:id="79" w:name="一是"/>
            <w:bookmarkEnd w:id="79"/>
            <w:r>
              <w:rPr>
                <w:rFonts w:hint="eastAsia"/>
                <w:color w:val="auto"/>
                <w:highlight w:val="none"/>
              </w:rPr>
              <w:t>1、资格条件</w:t>
            </w:r>
            <w:r>
              <w:rPr>
                <w:color w:val="auto"/>
                <w:highlight w:val="none"/>
              </w:rPr>
              <w:t>、营业执照及安全生产条件</w:t>
            </w:r>
          </w:p>
          <w:p>
            <w:pPr>
              <w:autoSpaceDE w:val="0"/>
              <w:autoSpaceDN w:val="0"/>
              <w:adjustRightInd w:val="0"/>
              <w:snapToGrid w:val="0"/>
              <w:spacing w:line="400" w:lineRule="exact"/>
              <w:ind w:firstLine="420" w:firstLineChars="200"/>
              <w:rPr>
                <w:color w:val="auto"/>
                <w:highlight w:val="none"/>
              </w:rPr>
            </w:pPr>
            <w:r>
              <w:rPr>
                <w:color w:val="auto"/>
                <w:highlight w:val="none"/>
              </w:rPr>
              <w:t>（</w:t>
            </w:r>
            <w:r>
              <w:rPr>
                <w:color w:val="auto"/>
                <w:highlight w:val="none"/>
                <w:lang w:val="en-US"/>
              </w:rPr>
              <w:t>1</w:t>
            </w:r>
            <w:r>
              <w:rPr>
                <w:color w:val="auto"/>
                <w:highlight w:val="none"/>
              </w:rPr>
              <w:t>）具备有效的营业执照</w:t>
            </w:r>
            <w:r>
              <w:rPr>
                <w:rFonts w:hint="eastAsia"/>
                <w:color w:val="auto"/>
                <w:highlight w:val="none"/>
                <w:lang w:eastAsia="zh-CN"/>
              </w:rPr>
              <w:t>且注册资金大于等于</w:t>
            </w:r>
            <w:r>
              <w:rPr>
                <w:rFonts w:hint="eastAsia"/>
                <w:color w:val="auto"/>
                <w:highlight w:val="none"/>
                <w:lang w:val="en-US" w:eastAsia="zh-CN"/>
              </w:rPr>
              <w:t>1500万元</w:t>
            </w:r>
            <w:r>
              <w:rPr>
                <w:color w:val="auto"/>
                <w:highlight w:val="none"/>
              </w:rPr>
              <w:t>。</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投标人</w:t>
            </w:r>
            <w:r>
              <w:rPr>
                <w:color w:val="auto"/>
                <w:highlight w:val="none"/>
              </w:rPr>
              <w:t>须</w:t>
            </w:r>
            <w:r>
              <w:rPr>
                <w:rFonts w:hint="eastAsia"/>
                <w:color w:val="auto"/>
                <w:highlight w:val="none"/>
              </w:rPr>
              <w:t>在投标文件资格审查部分</w:t>
            </w:r>
            <w:r>
              <w:rPr>
                <w:color w:val="auto"/>
                <w:highlight w:val="none"/>
              </w:rPr>
              <w:t>提供有效的带二维码</w:t>
            </w:r>
            <w:r>
              <w:rPr>
                <w:rFonts w:hint="eastAsia"/>
                <w:color w:val="auto"/>
                <w:highlight w:val="none"/>
              </w:rPr>
              <w:t>标识</w:t>
            </w:r>
            <w:r>
              <w:rPr>
                <w:color w:val="auto"/>
                <w:highlight w:val="none"/>
              </w:rPr>
              <w:t>的营业执照。</w:t>
            </w:r>
            <w:r>
              <w:rPr>
                <w:rFonts w:hint="eastAsia"/>
                <w:color w:val="auto"/>
                <w:highlight w:val="none"/>
              </w:rPr>
              <w:t>注：不得将投标人营业执照记载的经营范围作为评审因素。</w:t>
            </w:r>
          </w:p>
          <w:p>
            <w:pPr>
              <w:autoSpaceDE w:val="0"/>
              <w:autoSpaceDN w:val="0"/>
              <w:adjustRightInd w:val="0"/>
              <w:snapToGrid w:val="0"/>
              <w:spacing w:line="400" w:lineRule="exact"/>
              <w:ind w:firstLine="420" w:firstLineChars="200"/>
              <w:rPr>
                <w:color w:val="auto"/>
                <w:highlight w:val="none"/>
              </w:rPr>
            </w:pPr>
            <w:r>
              <w:rPr>
                <w:color w:val="auto"/>
                <w:highlight w:val="none"/>
              </w:rPr>
              <w:t>（</w:t>
            </w:r>
            <w:r>
              <w:rPr>
                <w:color w:val="auto"/>
                <w:highlight w:val="none"/>
                <w:lang w:val="en-US"/>
              </w:rPr>
              <w:t>2</w:t>
            </w:r>
            <w:r>
              <w:rPr>
                <w:color w:val="auto"/>
                <w:highlight w:val="none"/>
              </w:rPr>
              <w:t>）具备建设行政主管部门颁发的有效的安全生产许可证</w:t>
            </w:r>
            <w:r>
              <w:rPr>
                <w:rFonts w:hint="eastAsia"/>
                <w:color w:val="auto"/>
                <w:highlight w:val="none"/>
              </w:rPr>
              <w:t>。</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投标人须在投标文件资格审查部分提供有效的安全生产许可证</w:t>
            </w:r>
            <w:r>
              <w:rPr>
                <w:color w:val="auto"/>
                <w:highlight w:val="none"/>
              </w:rPr>
              <w:t>。</w:t>
            </w:r>
          </w:p>
          <w:p>
            <w:pPr>
              <w:autoSpaceDE w:val="0"/>
              <w:autoSpaceDN w:val="0"/>
              <w:adjustRightInd w:val="0"/>
              <w:snapToGrid w:val="0"/>
              <w:spacing w:line="400" w:lineRule="exact"/>
              <w:ind w:firstLine="42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）具备建设行政主管部门颁发的有效的市政公用工程总承包叁级及以上资质。</w:t>
            </w:r>
          </w:p>
          <w:p>
            <w:pPr>
              <w:autoSpaceDE w:val="0"/>
              <w:autoSpaceDN w:val="0"/>
              <w:adjustRightInd w:val="0"/>
              <w:snapToGrid w:val="0"/>
              <w:spacing w:line="400" w:lineRule="exact"/>
              <w:ind w:firstLine="420" w:firstLineChars="200"/>
              <w:rPr>
                <w:color w:val="auto"/>
                <w:highlight w:val="none"/>
              </w:rPr>
            </w:pPr>
            <w:r>
              <w:rPr>
                <w:rFonts w:hint="eastAsia"/>
                <w:color w:val="auto"/>
                <w:highlight w:val="none"/>
              </w:rPr>
              <w:t>投标人须在投标文件资格审查部分提供有效的</w:t>
            </w:r>
            <w:r>
              <w:rPr>
                <w:rFonts w:hint="eastAsia"/>
                <w:color w:val="auto"/>
                <w:highlight w:val="none"/>
                <w:lang w:eastAsia="zh-CN"/>
              </w:rPr>
              <w:t>资质证书</w:t>
            </w:r>
            <w:r>
              <w:rPr>
                <w:color w:val="auto"/>
                <w:highlight w:val="none"/>
              </w:rPr>
              <w:t>。</w:t>
            </w:r>
          </w:p>
          <w:p>
            <w:pPr>
              <w:autoSpaceDE w:val="0"/>
              <w:autoSpaceDN w:val="0"/>
              <w:adjustRightInd w:val="0"/>
              <w:snapToGrid w:val="0"/>
              <w:spacing w:line="400" w:lineRule="exact"/>
              <w:rPr>
                <w:color w:val="auto"/>
                <w:highlight w:val="none"/>
              </w:rPr>
            </w:pPr>
            <w:r>
              <w:rPr>
                <w:color w:val="auto"/>
                <w:highlight w:val="none"/>
              </w:rPr>
              <w:t>2</w:t>
            </w:r>
            <w:r>
              <w:rPr>
                <w:rFonts w:hint="eastAsia"/>
                <w:color w:val="auto"/>
                <w:highlight w:val="none"/>
              </w:rPr>
              <w:t>、</w:t>
            </w:r>
            <w:r>
              <w:rPr>
                <w:color w:val="auto"/>
                <w:highlight w:val="none"/>
              </w:rPr>
              <w:t>财务要求</w:t>
            </w:r>
          </w:p>
          <w:p>
            <w:pPr>
              <w:autoSpaceDE w:val="0"/>
              <w:autoSpaceDN w:val="0"/>
              <w:adjustRightInd w:val="0"/>
              <w:snapToGrid w:val="0"/>
              <w:spacing w:line="400" w:lineRule="exact"/>
              <w:ind w:firstLine="420" w:firstLineChars="200"/>
              <w:rPr>
                <w:color w:val="auto"/>
                <w:highlight w:val="none"/>
              </w:rPr>
            </w:pPr>
            <w:r>
              <w:rPr>
                <w:color w:val="auto"/>
                <w:highlight w:val="none"/>
              </w:rPr>
              <w:t>20</w:t>
            </w:r>
            <w:r>
              <w:rPr>
                <w:rFonts w:hint="eastAsia"/>
                <w:color w:val="auto"/>
                <w:highlight w:val="none"/>
                <w:lang w:val="en-US" w:eastAsia="zh-CN"/>
              </w:rPr>
              <w:t>20</w:t>
            </w:r>
            <w:r>
              <w:rPr>
                <w:rFonts w:hint="eastAsia"/>
                <w:color w:val="auto"/>
                <w:highlight w:val="none"/>
              </w:rPr>
              <w:t>年、</w:t>
            </w:r>
            <w:r>
              <w:rPr>
                <w:color w:val="auto"/>
                <w:highlight w:val="none"/>
              </w:rPr>
              <w:t>20</w:t>
            </w:r>
            <w:r>
              <w:rPr>
                <w:rFonts w:hint="eastAsia"/>
                <w:color w:val="auto"/>
                <w:highlight w:val="none"/>
              </w:rPr>
              <w:t>2</w:t>
            </w:r>
            <w:r>
              <w:rPr>
                <w:rFonts w:hint="eastAsia"/>
                <w:color w:val="auto"/>
                <w:highlight w:val="none"/>
                <w:lang w:val="en-US" w:eastAsia="zh-CN"/>
              </w:rPr>
              <w:t>1</w:t>
            </w:r>
            <w:r>
              <w:rPr>
                <w:rFonts w:hint="eastAsia"/>
                <w:color w:val="auto"/>
                <w:highlight w:val="none"/>
              </w:rPr>
              <w:t>年、</w:t>
            </w:r>
            <w:r>
              <w:rPr>
                <w:color w:val="auto"/>
                <w:highlight w:val="none"/>
              </w:rPr>
              <w:t>202</w:t>
            </w:r>
            <w:r>
              <w:rPr>
                <w:rFonts w:hint="eastAsia"/>
                <w:color w:val="auto"/>
                <w:highlight w:val="none"/>
                <w:lang w:val="en-US" w:eastAsia="zh-CN"/>
              </w:rPr>
              <w:t>2</w:t>
            </w:r>
            <w:r>
              <w:rPr>
                <w:rFonts w:hint="eastAsia"/>
                <w:color w:val="auto"/>
                <w:highlight w:val="none"/>
              </w:rPr>
              <w:t>年的年度财务状况不亏损。</w:t>
            </w:r>
          </w:p>
          <w:p>
            <w:pPr>
              <w:snapToGrid w:val="0"/>
              <w:spacing w:line="400" w:lineRule="exact"/>
              <w:ind w:firstLine="420" w:firstLineChars="200"/>
              <w:rPr>
                <w:color w:val="auto"/>
                <w:highlight w:val="none"/>
              </w:rPr>
            </w:pPr>
            <w:r>
              <w:rPr>
                <w:rFonts w:hint="eastAsia"/>
                <w:color w:val="auto"/>
                <w:highlight w:val="none"/>
              </w:rPr>
              <w:t>投标人须在投标文件资格审查部分提供现金流量表、资产负债表、利润表。</w:t>
            </w:r>
          </w:p>
          <w:p>
            <w:pPr>
              <w:adjustRightInd w:val="0"/>
              <w:snapToGrid w:val="0"/>
              <w:spacing w:line="400" w:lineRule="exact"/>
              <w:rPr>
                <w:rFonts w:hint="eastAsia" w:eastAsia="宋体"/>
                <w:color w:val="auto"/>
                <w:highlight w:val="none"/>
                <w:lang w:val="en-US" w:eastAsia="zh-CN"/>
              </w:rPr>
            </w:pP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业绩要求</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lang w:val="en-US" w:eastAsia="zh-CN"/>
              </w:rPr>
              <w:t>3.1</w:t>
            </w:r>
            <w:r>
              <w:rPr>
                <w:rFonts w:hint="eastAsia" w:ascii="宋体" w:hAnsi="宋体"/>
                <w:kern w:val="0"/>
                <w:szCs w:val="21"/>
              </w:rPr>
              <w:t>业绩时间要求：</w:t>
            </w:r>
          </w:p>
          <w:p>
            <w:pPr>
              <w:autoSpaceDE w:val="0"/>
              <w:autoSpaceDN w:val="0"/>
              <w:adjustRightInd w:val="0"/>
              <w:snapToGrid w:val="0"/>
              <w:spacing w:line="400" w:lineRule="exact"/>
              <w:ind w:firstLine="630" w:firstLineChars="300"/>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val="en-US" w:eastAsia="zh-CN"/>
              </w:rPr>
              <w:t>2020</w:t>
            </w:r>
            <w:r>
              <w:rPr>
                <w:rFonts w:hint="eastAsia" w:ascii="宋体" w:hAnsi="宋体"/>
                <w:szCs w:val="21"/>
                <w:u w:val="single"/>
              </w:rPr>
              <w:t xml:space="preserve">  </w:t>
            </w:r>
            <w:r>
              <w:rPr>
                <w:rFonts w:hint="eastAsia" w:ascii="宋体" w:hAnsi="宋体"/>
                <w:szCs w:val="21"/>
              </w:rPr>
              <w:t>年1月1日起至投标截止日止的</w:t>
            </w:r>
            <w:r>
              <w:rPr>
                <w:rFonts w:hint="eastAsia" w:ascii="宋体" w:hAnsi="宋体"/>
                <w:szCs w:val="21"/>
                <w:lang w:val="en-US" w:eastAsia="zh-CN"/>
              </w:rPr>
              <w:t>1</w:t>
            </w:r>
            <w:r>
              <w:rPr>
                <w:rFonts w:hint="eastAsia" w:ascii="宋体" w:hAnsi="宋体"/>
                <w:szCs w:val="21"/>
              </w:rPr>
              <w:t>个类似项目业绩。</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3.2业绩要求：</w:t>
            </w:r>
          </w:p>
          <w:p>
            <w:pPr>
              <w:autoSpaceDE w:val="0"/>
              <w:autoSpaceDN w:val="0"/>
              <w:adjustRightInd w:val="0"/>
              <w:snapToGrid w:val="0"/>
              <w:spacing w:line="400" w:lineRule="exact"/>
              <w:ind w:firstLine="420" w:firstLineChars="200"/>
              <w:rPr>
                <w:rFonts w:ascii="宋体" w:hAnsi="宋体"/>
                <w:szCs w:val="21"/>
                <w:u w:val="single"/>
              </w:rPr>
            </w:pPr>
            <w:r>
              <w:rPr>
                <w:rFonts w:hint="eastAsia" w:ascii="宋体" w:hAnsi="宋体"/>
                <w:szCs w:val="21"/>
              </w:rPr>
              <w:t>工程类别：</w:t>
            </w:r>
            <w:r>
              <w:rPr>
                <w:rFonts w:hint="eastAsia" w:ascii="宋体" w:hAnsi="宋体"/>
                <w:szCs w:val="21"/>
                <w:u w:val="single"/>
              </w:rPr>
              <w:t xml:space="preserve">  </w:t>
            </w:r>
            <w:r>
              <w:rPr>
                <w:rFonts w:hint="eastAsia" w:ascii="宋体" w:hAnsi="宋体"/>
                <w:szCs w:val="21"/>
                <w:u w:val="single"/>
                <w:lang w:eastAsia="zh-CN"/>
              </w:rPr>
              <w:t>市政零星工程、抢险工程</w:t>
            </w:r>
            <w:r>
              <w:rPr>
                <w:rFonts w:hint="eastAsia" w:ascii="宋体" w:hAnsi="宋体"/>
                <w:szCs w:val="21"/>
                <w:u w:val="single"/>
              </w:rPr>
              <w:t xml:space="preserve">   </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3.3业绩证明材料要求：</w:t>
            </w:r>
          </w:p>
          <w:p>
            <w:pPr>
              <w:autoSpaceDE w:val="0"/>
              <w:autoSpaceDN w:val="0"/>
              <w:adjustRightInd w:val="0"/>
              <w:snapToGrid w:val="0"/>
              <w:spacing w:line="400" w:lineRule="exact"/>
              <w:ind w:firstLine="415" w:firstLineChars="198"/>
              <w:rPr>
                <w:rFonts w:hint="eastAsia" w:ascii="宋体" w:hAnsi="宋体"/>
                <w:szCs w:val="21"/>
              </w:rPr>
            </w:pPr>
            <w:r>
              <w:rPr>
                <w:rFonts w:hint="eastAsia" w:ascii="宋体" w:hAnsi="宋体"/>
                <w:szCs w:val="21"/>
              </w:rPr>
              <w:t>投标人须在投标文件资格审查部分提供该业绩的中标通知书（直接发包的项目可提供项目发包人出具的项目直接发包情况说明或证明文书代替）</w:t>
            </w:r>
            <w:r>
              <w:rPr>
                <w:rFonts w:hint="eastAsia" w:ascii="宋体" w:hAnsi="宋体"/>
                <w:szCs w:val="21"/>
                <w:lang w:eastAsia="zh-CN"/>
              </w:rPr>
              <w:t>或</w:t>
            </w:r>
            <w:r>
              <w:rPr>
                <w:rFonts w:hint="eastAsia" w:ascii="宋体" w:hAnsi="宋体"/>
                <w:szCs w:val="21"/>
              </w:rPr>
              <w:t>合同协议书</w:t>
            </w:r>
            <w:r>
              <w:rPr>
                <w:rFonts w:hint="eastAsia" w:ascii="宋体" w:hAnsi="宋体"/>
                <w:szCs w:val="21"/>
                <w:lang w:eastAsia="zh-CN"/>
              </w:rPr>
              <w:t>、</w:t>
            </w:r>
            <w:r>
              <w:rPr>
                <w:rFonts w:hint="eastAsia" w:ascii="宋体" w:hAnsi="宋体"/>
                <w:szCs w:val="21"/>
              </w:rPr>
              <w:t>工程竣工验收合格的证明材料。</w:t>
            </w:r>
          </w:p>
          <w:p>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注：投标人应对其提供的业绩证明材料的真实性负责。不满足上述业绩要求的业绩无效。</w:t>
            </w:r>
          </w:p>
          <w:p>
            <w:pPr>
              <w:adjustRightInd w:val="0"/>
              <w:snapToGrid w:val="0"/>
              <w:spacing w:line="400" w:lineRule="exact"/>
              <w:rPr>
                <w:color w:val="auto"/>
                <w:highlight w:val="none"/>
              </w:rPr>
            </w:pPr>
            <w:r>
              <w:rPr>
                <w:rFonts w:hint="eastAsia"/>
                <w:color w:val="auto"/>
                <w:highlight w:val="none"/>
                <w:lang w:val="en-US" w:eastAsia="zh-CN"/>
              </w:rPr>
              <w:t>4</w:t>
            </w:r>
            <w:r>
              <w:rPr>
                <w:rFonts w:hint="eastAsia"/>
                <w:color w:val="auto"/>
                <w:highlight w:val="none"/>
              </w:rPr>
              <w:t>、</w:t>
            </w:r>
            <w:r>
              <w:rPr>
                <w:color w:val="auto"/>
                <w:highlight w:val="none"/>
              </w:rPr>
              <w:t>投标截止日投标资格情况</w:t>
            </w:r>
          </w:p>
          <w:p>
            <w:pPr>
              <w:snapToGrid w:val="0"/>
              <w:spacing w:line="400" w:lineRule="exact"/>
              <w:ind w:firstLine="420" w:firstLineChars="200"/>
              <w:rPr>
                <w:color w:val="auto"/>
                <w:highlight w:val="none"/>
              </w:rPr>
            </w:pPr>
            <w:r>
              <w:rPr>
                <w:rFonts w:hint="eastAsia"/>
                <w:color w:val="auto"/>
                <w:highlight w:val="none"/>
              </w:rPr>
              <w:t>投标人自行承诺（格式见第八章投标文件格式）不得存在下列情形之一：</w:t>
            </w:r>
          </w:p>
          <w:p>
            <w:pPr>
              <w:snapToGrid w:val="0"/>
              <w:spacing w:line="400" w:lineRule="exact"/>
              <w:ind w:firstLine="420" w:firstLineChars="200"/>
              <w:jc w:val="left"/>
              <w:rPr>
                <w:color w:val="auto"/>
                <w:highlight w:val="none"/>
              </w:rPr>
            </w:pPr>
            <w:r>
              <w:rPr>
                <w:rFonts w:hint="eastAsia"/>
                <w:color w:val="auto"/>
                <w:highlight w:val="none"/>
              </w:rPr>
              <w:t>（1）被人民法院列入失信被执行人名单且在被执行期内；</w:t>
            </w:r>
          </w:p>
          <w:p>
            <w:pPr>
              <w:snapToGrid w:val="0"/>
              <w:spacing w:line="400" w:lineRule="exact"/>
              <w:ind w:firstLine="420" w:firstLineChars="200"/>
              <w:rPr>
                <w:color w:val="auto"/>
                <w:highlight w:val="none"/>
              </w:rPr>
            </w:pPr>
            <w:r>
              <w:rPr>
                <w:rFonts w:hint="eastAsia"/>
                <w:color w:val="auto"/>
                <w:highlight w:val="none"/>
              </w:rPr>
              <w:t>（2）被列入《重庆市工程建设领域采购投标信用管理暂行办法》规定的重点关注名单且记分达到12分且在记分有效期内；</w:t>
            </w:r>
          </w:p>
          <w:p>
            <w:pPr>
              <w:snapToGrid w:val="0"/>
              <w:spacing w:line="400" w:lineRule="exact"/>
              <w:ind w:firstLine="420" w:firstLineChars="200"/>
              <w:rPr>
                <w:color w:val="auto"/>
                <w:highlight w:val="none"/>
              </w:rPr>
            </w:pPr>
            <w:r>
              <w:rPr>
                <w:rFonts w:hint="eastAsia"/>
                <w:color w:val="auto"/>
                <w:highlight w:val="none"/>
              </w:rPr>
              <w:t>（3）被列入《重庆市工程建设领域采购投标信用管理暂行办法》规定的重庆市工程建设领域采购投标失信惩戒对象名单（以下称黑名单）且在记分有效期内；</w:t>
            </w:r>
          </w:p>
          <w:p>
            <w:pPr>
              <w:snapToGrid w:val="0"/>
              <w:spacing w:line="400" w:lineRule="exact"/>
              <w:ind w:firstLine="420" w:firstLineChars="200"/>
              <w:rPr>
                <w:color w:val="auto"/>
                <w:highlight w:val="none"/>
              </w:rPr>
            </w:pPr>
            <w:r>
              <w:rPr>
                <w:rFonts w:hint="eastAsia"/>
                <w:color w:val="auto"/>
                <w:highlight w:val="none"/>
              </w:rPr>
              <w:t>（4）被国家、重庆市（含市或任意区县）有关行政部门处以暂停投标资格行政处罚，且在处罚期限内；</w:t>
            </w:r>
          </w:p>
          <w:p>
            <w:pPr>
              <w:snapToGrid w:val="0"/>
              <w:spacing w:line="400" w:lineRule="exact"/>
              <w:ind w:firstLine="420" w:firstLineChars="200"/>
              <w:rPr>
                <w:color w:val="auto"/>
                <w:highlight w:val="none"/>
              </w:rPr>
            </w:pPr>
            <w:r>
              <w:rPr>
                <w:rFonts w:hint="eastAsia"/>
                <w:color w:val="auto"/>
                <w:highlight w:val="none"/>
              </w:rPr>
              <w:t>（5）被重庆市住房和城乡建设主管部门暂停在渝承揽新业务且在暂停期内。</w:t>
            </w:r>
          </w:p>
          <w:p>
            <w:pPr>
              <w:spacing w:line="400" w:lineRule="exact"/>
              <w:ind w:firstLine="420" w:firstLineChars="200"/>
              <w:rPr>
                <w:color w:val="auto"/>
                <w:highlight w:val="none"/>
              </w:rPr>
            </w:pPr>
            <w:r>
              <w:rPr>
                <w:rFonts w:hint="eastAsia"/>
                <w:color w:val="auto"/>
                <w:highlight w:val="none"/>
              </w:rPr>
              <w:t>投标人须在投标文件资格审查部分提供承诺。</w:t>
            </w:r>
          </w:p>
          <w:p>
            <w:pPr>
              <w:spacing w:line="400" w:lineRule="exact"/>
              <w:ind w:firstLine="420" w:firstLineChars="200"/>
              <w:rPr>
                <w:color w:val="auto"/>
                <w:highlight w:val="none"/>
              </w:rPr>
            </w:pPr>
            <w:r>
              <w:rPr>
                <w:rFonts w:hint="eastAsia"/>
                <w:color w:val="auto"/>
                <w:highlight w:val="none"/>
              </w:rPr>
              <w:t>上述第（2）、（3）款信用状况在开标环节进行查询，查询结果交由评标委员会评审，若投标人针对上述第（2）、（3）款的承诺内容与查询结果不符，由评标委员会作否决投标处理。</w:t>
            </w:r>
          </w:p>
          <w:p>
            <w:pPr>
              <w:spacing w:line="400" w:lineRule="exact"/>
              <w:ind w:firstLine="420" w:firstLineChars="200"/>
              <w:rPr>
                <w:color w:val="auto"/>
                <w:highlight w:val="none"/>
              </w:rPr>
            </w:pPr>
            <w:r>
              <w:rPr>
                <w:rFonts w:hint="eastAsia"/>
                <w:color w:val="auto"/>
                <w:highlight w:val="none"/>
              </w:rPr>
              <w:t>注：投标人是否因有不良行为记分、进入重点关注名单或黑名单而被限制投标的，以开标环节信用状况查询结果为准。</w:t>
            </w:r>
          </w:p>
          <w:p>
            <w:pPr>
              <w:spacing w:line="400" w:lineRule="exact"/>
              <w:ind w:firstLine="420" w:firstLineChars="200"/>
              <w:rPr>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1.4.2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1.9.1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1.10.1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pPr>
              <w:snapToGrid w:val="0"/>
              <w:spacing w:line="400" w:lineRule="exact"/>
              <w:ind w:firstLine="420" w:firstLineChars="200"/>
            </w:pPr>
            <w: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2.1</w:t>
            </w:r>
          </w:p>
        </w:tc>
        <w:tc>
          <w:tcPr>
            <w:tcW w:w="1451"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采购</w:t>
            </w:r>
            <w:r>
              <w:rPr>
                <w:rFonts w:ascii="宋体" w:hAnsi="宋体"/>
                <w:kern w:val="0"/>
                <w:szCs w:val="21"/>
              </w:rPr>
              <w:t>文件的其他材料</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采购</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451"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阅读采购</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在采购公告规定的时间</w:t>
            </w:r>
            <w:r>
              <w:rPr>
                <w:rFonts w:ascii="宋体" w:hAnsi="宋体"/>
                <w:kern w:val="0"/>
                <w:szCs w:val="21"/>
              </w:rPr>
              <w:t>前</w:t>
            </w:r>
            <w:r>
              <w:rPr>
                <w:rFonts w:hint="eastAsia" w:ascii="宋体" w:hAnsi="宋体"/>
                <w:kern w:val="0"/>
                <w:szCs w:val="21"/>
              </w:rPr>
              <w:t>书面</w:t>
            </w:r>
            <w:r>
              <w:rPr>
                <w:rFonts w:ascii="宋体" w:hAnsi="宋体"/>
                <w:kern w:val="0"/>
                <w:szCs w:val="21"/>
              </w:rPr>
              <w:t>提交。</w:t>
            </w:r>
            <w:r>
              <w:rPr>
                <w:rFonts w:hint="eastAsia" w:ascii="宋体" w:hAnsi="宋体"/>
                <w:kern w:val="0"/>
                <w:szCs w:val="21"/>
              </w:rPr>
              <w:t>（提示：公告公示后第一天结束后，不再接收任何书面质疑）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pPr>
              <w:snapToGrid w:val="0"/>
              <w:spacing w:line="400" w:lineRule="exact"/>
              <w:jc w:val="center"/>
              <w:rPr>
                <w:rFonts w:ascii="宋体" w:hAnsi="宋体"/>
                <w:kern w:val="0"/>
                <w:szCs w:val="21"/>
              </w:rPr>
            </w:pPr>
            <w:r>
              <w:rPr>
                <w:rFonts w:ascii="宋体" w:hAnsi="宋体"/>
                <w:kern w:val="0"/>
                <w:szCs w:val="21"/>
              </w:rPr>
              <w:t>2.2.2</w:t>
            </w:r>
          </w:p>
        </w:tc>
        <w:tc>
          <w:tcPr>
            <w:tcW w:w="1451" w:type="dxa"/>
            <w:tcBorders>
              <w:top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文件澄清的截止时间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zCs w:val="21"/>
              </w:rPr>
              <w:t>采购人应在采购公告公示第二天</w:t>
            </w:r>
            <w:r>
              <w:rPr>
                <w:rFonts w:ascii="宋体" w:hAnsi="宋体"/>
                <w:szCs w:val="21"/>
              </w:rPr>
              <w:t>，</w:t>
            </w:r>
            <w:r>
              <w:rPr>
                <w:rFonts w:ascii="宋体" w:hAnsi="宋体"/>
                <w:kern w:val="0"/>
                <w:szCs w:val="21"/>
              </w:rPr>
              <w:t>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fldChar w:fldCharType="end"/>
            </w:r>
            <w:r>
              <w:rPr>
                <w:rFonts w:hint="eastAsia" w:ascii="宋体" w:hAnsi="宋体"/>
                <w:snapToGrid w:val="0"/>
                <w:kern w:val="0"/>
                <w:szCs w:val="21"/>
                <w:u w:val="single"/>
              </w:rPr>
              <w:t>）</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pPr>
              <w:snapToGrid w:val="0"/>
              <w:spacing w:line="400" w:lineRule="exact"/>
              <w:jc w:val="center"/>
              <w:rPr>
                <w:rFonts w:ascii="宋体" w:hAnsi="宋体"/>
                <w:kern w:val="0"/>
                <w:szCs w:val="21"/>
              </w:rPr>
            </w:pP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683"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详见采购公告规定的投标截止时间</w:t>
            </w:r>
            <w:r>
              <w:rPr>
                <w:rFonts w:hint="eastAsia" w:ascii="宋体" w:hAnsi="宋体"/>
                <w:szCs w:val="21"/>
                <w:highlight w:val="none"/>
                <w:lang w:val="en-US" w:eastAsia="zh-CN"/>
              </w:rPr>
              <w:t>2023年5月16日上午10:00</w:t>
            </w:r>
            <w:r>
              <w:rPr>
                <w:rFonts w:hint="eastAsia"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pPr>
              <w:snapToGrid w:val="0"/>
              <w:spacing w:after="15" w:afterLines="5"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文件进行</w:t>
            </w:r>
            <w:r>
              <w:rPr>
                <w:rFonts w:hint="eastAsia" w:ascii="宋体" w:hAnsi="宋体"/>
                <w:kern w:val="0"/>
                <w:szCs w:val="21"/>
              </w:rPr>
              <w:t>修改</w:t>
            </w:r>
            <w:r>
              <w:rPr>
                <w:rFonts w:ascii="宋体" w:hAnsi="宋体"/>
                <w:kern w:val="0"/>
                <w:szCs w:val="21"/>
              </w:rPr>
              <w:t>的时间</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文件及澄清修改提出异议的截止时间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pPr>
              <w:pStyle w:val="2"/>
              <w:tabs>
                <w:tab w:val="left" w:pos="546"/>
                <w:tab w:val="left" w:pos="711"/>
              </w:tabs>
              <w:snapToGrid w:val="0"/>
              <w:spacing w:after="0" w:line="400" w:lineRule="exact"/>
              <w:ind w:firstLine="420" w:firstLineChars="200"/>
              <w:rPr>
                <w:rFonts w:hint="eastAsia"/>
              </w:rPr>
            </w:pPr>
            <w:r>
              <w:rPr>
                <w:rFonts w:hint="eastAsia"/>
                <w:lang w:eastAsia="zh-CN"/>
              </w:rPr>
              <w:t>本</w:t>
            </w:r>
            <w:r>
              <w:rPr>
                <w:rFonts w:hint="eastAsia"/>
              </w:rPr>
              <w:t>工程量清单采用</w:t>
            </w:r>
            <w:r>
              <w:rPr>
                <w:rFonts w:hint="eastAsia"/>
                <w:lang w:eastAsia="zh-CN"/>
              </w:rPr>
              <w:t>全费用</w:t>
            </w:r>
            <w:r>
              <w:rPr>
                <w:rFonts w:hint="eastAsia"/>
              </w:rPr>
              <w:t>综合单价计价。全费用综合单价中价包含但不限于人工、材料、机械、检验试验、缺陷修复、管理、保险、利润、规费、安全生产费、施工用水、用电、搭设费和使用费、材料转运、临时用地租金、各种税金、相应的施工措施费，以及本招标文书中明示或暗示的所有一切风险、责任和义务等所有费用。投标人应根据本工程特点及风险，以招标文件、合同条件、工程量清单、本次招标范围等为依据，结合自身实力按招标人提供的全费用综合包干单价表填报统一报价系数。</w:t>
            </w:r>
          </w:p>
          <w:p>
            <w:pPr>
              <w:ind w:firstLine="210" w:firstLineChars="100"/>
              <w:rPr>
                <w:rFonts w:hint="eastAsia"/>
                <w:lang w:eastAsia="zh-CN"/>
              </w:rPr>
            </w:pPr>
            <w:r>
              <w:rPr>
                <w:rFonts w:hint="eastAsia"/>
                <w:lang w:eastAsia="zh-CN"/>
              </w:rPr>
              <w:t>注：若投标人的报价百分比为</w:t>
            </w:r>
            <w:r>
              <w:rPr>
                <w:rFonts w:hint="eastAsia"/>
                <w:b/>
                <w:bCs/>
                <w:u w:val="single"/>
                <w:lang w:eastAsia="zh-CN"/>
              </w:rPr>
              <w:t>96%</w:t>
            </w:r>
            <w:r>
              <w:rPr>
                <w:rFonts w:hint="eastAsia"/>
                <w:lang w:eastAsia="zh-CN"/>
              </w:rPr>
              <w:t>的，即统一报价系数为</w:t>
            </w:r>
            <w:r>
              <w:rPr>
                <w:rFonts w:hint="eastAsia"/>
                <w:b/>
                <w:bCs/>
                <w:u w:val="single"/>
                <w:lang w:eastAsia="zh-CN"/>
              </w:rPr>
              <w:t>0.96</w:t>
            </w:r>
            <w:r>
              <w:rPr>
                <w:rFonts w:hint="eastAsia"/>
                <w:lang w:eastAsia="zh-CN"/>
              </w:rPr>
              <w:t>，表示按招标文件的全费用综合包干单价乘以统一报价系数</w:t>
            </w:r>
            <w:r>
              <w:rPr>
                <w:rFonts w:hint="eastAsia"/>
                <w:b/>
                <w:bCs/>
                <w:u w:val="single"/>
                <w:lang w:eastAsia="zh-CN"/>
              </w:rPr>
              <w:t>0.96</w:t>
            </w:r>
            <w:r>
              <w:rPr>
                <w:rFonts w:hint="eastAsia"/>
                <w:lang w:eastAsia="zh-CN"/>
              </w:rPr>
              <w:t>作为投标报价，也表示按招标文件相应的全费用综合包干单价下浮</w:t>
            </w:r>
            <w:r>
              <w:rPr>
                <w:rFonts w:hint="eastAsia"/>
                <w:b/>
                <w:bCs/>
                <w:u w:val="single"/>
                <w:lang w:eastAsia="zh-CN"/>
              </w:rPr>
              <w:t>4%</w:t>
            </w:r>
            <w:r>
              <w:rPr>
                <w:rFonts w:hint="eastAsia"/>
                <w:lang w:eastAsia="zh-CN"/>
              </w:rPr>
              <w:t>作为投标报价。</w:t>
            </w:r>
          </w:p>
          <w:p>
            <w:pPr>
              <w:pStyle w:val="2"/>
              <w:ind w:firstLine="420" w:firstLineChars="200"/>
              <w:rPr>
                <w:rFonts w:hint="eastAsia"/>
                <w:lang w:eastAsia="zh-CN"/>
              </w:rPr>
            </w:pPr>
            <w:r>
              <w:rPr>
                <w:rFonts w:hint="eastAsia"/>
                <w:lang w:eastAsia="zh-CN"/>
              </w:rPr>
              <w:t>若投标人的报价百分比为</w:t>
            </w:r>
            <w:r>
              <w:rPr>
                <w:rFonts w:hint="eastAsia"/>
                <w:b/>
                <w:bCs/>
                <w:u w:val="single"/>
                <w:lang w:eastAsia="zh-CN"/>
              </w:rPr>
              <w:t>101%</w:t>
            </w:r>
            <w:r>
              <w:rPr>
                <w:rFonts w:hint="eastAsia"/>
                <w:lang w:eastAsia="zh-CN"/>
              </w:rPr>
              <w:t>的，即统一报价系数为</w:t>
            </w:r>
            <w:r>
              <w:rPr>
                <w:rFonts w:hint="eastAsia"/>
                <w:b/>
                <w:bCs/>
                <w:u w:val="single"/>
                <w:lang w:eastAsia="zh-CN"/>
              </w:rPr>
              <w:t>1.01</w:t>
            </w:r>
            <w:r>
              <w:rPr>
                <w:rFonts w:hint="eastAsia"/>
                <w:lang w:eastAsia="zh-CN"/>
              </w:rPr>
              <w:t>，表示按招标文件相应的全费用综合包干单价乘以统一报价系数</w:t>
            </w:r>
            <w:r>
              <w:rPr>
                <w:rFonts w:hint="eastAsia"/>
                <w:b/>
                <w:bCs/>
                <w:u w:val="single"/>
                <w:lang w:eastAsia="zh-CN"/>
              </w:rPr>
              <w:t>1.01</w:t>
            </w:r>
            <w:r>
              <w:rPr>
                <w:rFonts w:hint="eastAsia"/>
                <w:lang w:eastAsia="zh-CN"/>
              </w:rPr>
              <w:t>作为投标报价，也表示按招标文件相应的全费用综合包干单价上浮</w:t>
            </w:r>
            <w:r>
              <w:rPr>
                <w:rFonts w:hint="eastAsia"/>
                <w:b/>
                <w:bCs/>
                <w:u w:val="single"/>
                <w:lang w:eastAsia="zh-CN"/>
              </w:rPr>
              <w:t>1%</w:t>
            </w:r>
            <w:r>
              <w:rPr>
                <w:rFonts w:hint="eastAsia"/>
                <w:lang w:eastAsia="zh-CN"/>
              </w:rPr>
              <w:t>作为投标报价。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3.3.1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pPr>
              <w:snapToGrid w:val="0"/>
              <w:spacing w:line="400" w:lineRule="exact"/>
              <w:ind w:firstLine="420" w:firstLineChars="200"/>
              <w:jc w:val="left"/>
              <w:rPr>
                <w:rFonts w:ascii="宋体" w:hAnsi="宋体" w:cs="宋体"/>
                <w:kern w:val="0"/>
                <w:szCs w:val="21"/>
              </w:rP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是否允许递交</w:t>
            </w:r>
          </w:p>
          <w:p>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451"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签字</w:t>
            </w:r>
            <w:r>
              <w:rPr>
                <w:rFonts w:ascii="宋体" w:hAnsi="宋体"/>
                <w:kern w:val="0"/>
                <w:szCs w:val="21"/>
              </w:rPr>
              <w:t>盖章要求</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投标文件应按第八章 投标文件格式要求法定代表人或其委托代理人</w:t>
            </w:r>
            <w:r>
              <w:rPr>
                <w:rFonts w:hint="eastAsia" w:ascii="宋体" w:hAnsi="宋体"/>
                <w:kern w:val="0"/>
                <w:szCs w:val="21"/>
              </w:rPr>
              <w:t>签字</w:t>
            </w:r>
            <w:r>
              <w:rPr>
                <w:rFonts w:hint="eastAsia" w:ascii="宋体" w:hAnsi="宋体"/>
                <w:szCs w:val="21"/>
              </w:rPr>
              <w:t>（或盖章）的须齐全。</w:t>
            </w:r>
          </w:p>
          <w:p>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pPr>
              <w:autoSpaceDE w:val="0"/>
              <w:autoSpaceDN w:val="0"/>
              <w:adjustRightInd w:val="0"/>
              <w:snapToGrid w:val="0"/>
              <w:spacing w:after="93" w:afterLines="30" w:line="400" w:lineRule="exact"/>
              <w:ind w:firstLine="420" w:firstLineChars="200"/>
              <w:rPr>
                <w:rFonts w:ascii="宋体" w:hAnsi="宋体"/>
                <w:i/>
                <w:kern w:val="0"/>
                <w:szCs w:val="21"/>
              </w:rPr>
            </w:pPr>
            <w:r>
              <w:rPr>
                <w:rFonts w:hint="eastAsia" w:ascii="宋体" w:hAnsi="宋体"/>
                <w:kern w:val="0"/>
                <w:szCs w:val="21"/>
              </w:rPr>
              <w:t>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w:t>
            </w:r>
            <w:r>
              <w:rPr>
                <w:rFonts w:ascii="宋体" w:hAnsi="宋体"/>
                <w:kern w:val="0"/>
                <w:szCs w:val="21"/>
              </w:rPr>
              <w:t>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技术</w:t>
            </w:r>
            <w:r>
              <w:rPr>
                <w:rFonts w:hint="eastAsia" w:ascii="宋体" w:hAnsi="宋体"/>
                <w:szCs w:val="21"/>
              </w:rPr>
              <w:t>部分</w:t>
            </w:r>
          </w:p>
          <w:p>
            <w:pPr>
              <w:adjustRightInd w:val="0"/>
              <w:snapToGrid w:val="0"/>
              <w:spacing w:line="400" w:lineRule="exact"/>
              <w:ind w:firstLine="420" w:firstLineChars="200"/>
              <w:rPr>
                <w:rFonts w:ascii="宋体" w:hAnsi="宋体"/>
                <w:szCs w:val="21"/>
              </w:rPr>
            </w:pPr>
            <w:r>
              <w:rPr>
                <w:rFonts w:hint="eastAsia" w:ascii="宋体" w:hAnsi="宋体"/>
                <w:szCs w:val="21"/>
                <w:lang w:eastAsia="zh-CN"/>
              </w:rPr>
              <w:t>服务方案</w:t>
            </w:r>
            <w:r>
              <w:rPr>
                <w:rFonts w:hint="eastAsia" w:ascii="宋体" w:hAnsi="宋体"/>
                <w:szCs w:val="21"/>
              </w:rPr>
              <w:t>不设封面，整个《</w:t>
            </w:r>
            <w:r>
              <w:rPr>
                <w:rFonts w:hint="eastAsia" w:ascii="宋体" w:hAnsi="宋体"/>
                <w:szCs w:val="21"/>
                <w:lang w:eastAsia="zh-CN"/>
              </w:rPr>
              <w:t>服务</w:t>
            </w:r>
            <w:r>
              <w:rPr>
                <w:rFonts w:hint="eastAsia" w:ascii="宋体" w:hAnsi="宋体"/>
                <w:szCs w:val="21"/>
              </w:rPr>
              <w:t>方案》均不得出现白页和倒页；不得显示与投标人企业有关的任何信息；《</w:t>
            </w:r>
            <w:r>
              <w:rPr>
                <w:rFonts w:hint="eastAsia" w:ascii="宋体" w:hAnsi="宋体"/>
                <w:szCs w:val="21"/>
                <w:lang w:eastAsia="zh-CN"/>
              </w:rPr>
              <w:t>服务</w:t>
            </w:r>
            <w:r>
              <w:rPr>
                <w:rFonts w:hint="eastAsia" w:ascii="宋体" w:hAnsi="宋体"/>
                <w:szCs w:val="21"/>
              </w:rPr>
              <w:t>方案》文本部分的文字采用四号仿宋字体，文本部分采用A4页面；应按照第八章规定格式排版，并应编制目录。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（3）资格审查部分</w:t>
            </w:r>
          </w:p>
          <w:p>
            <w:pPr>
              <w:adjustRightInd w:val="0"/>
              <w:snapToGrid w:val="0"/>
              <w:spacing w:line="400" w:lineRule="exact"/>
              <w:ind w:firstLine="420" w:firstLineChars="200"/>
              <w:rPr>
                <w:rStyle w:val="55"/>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）投标人在编制电子投标文件时应当建立分级目录，并按照标签提示导入相关内容。</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）按本章前附表第3.7.3项签字盖章要求进行投标文件的签署。</w:t>
            </w:r>
          </w:p>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w:t>
            </w:r>
            <w:r>
              <w:rPr>
                <w:rFonts w:hint="eastAsia" w:ascii="宋体" w:hAnsi="宋体"/>
                <w:szCs w:val="21"/>
                <w:lang w:eastAsia="zh-CN"/>
              </w:rPr>
              <w:t>技术</w:t>
            </w:r>
            <w:r>
              <w:rPr>
                <w:rFonts w:hint="eastAsia" w:ascii="宋体" w:hAnsi="宋体"/>
                <w:szCs w:val="21"/>
              </w:rPr>
              <w:t>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）资格审查部分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投标人应用“投标文件”袋单独封装，并在封口处加盖投标人单位法人章，同时“投标文件”袋应按本表第4.1.2项的规定写明相应内容。“投标文件”袋未按要求密封的，采购人应该拒收。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采购</w:t>
            </w:r>
            <w:r>
              <w:rPr>
                <w:rFonts w:ascii="宋体" w:hAnsi="宋体"/>
                <w:kern w:val="0"/>
                <w:szCs w:val="21"/>
              </w:rPr>
              <w:t>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pPr>
              <w:snapToGrid w:val="0"/>
              <w:spacing w:line="400" w:lineRule="exact"/>
              <w:ind w:firstLine="420" w:firstLineChars="200"/>
              <w:rPr>
                <w:rFonts w:ascii="宋体" w:hAnsi="宋体"/>
                <w:bCs/>
                <w:szCs w:val="21"/>
              </w:rPr>
            </w:pP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pPr>
              <w:snapToGrid w:val="0"/>
              <w:spacing w:line="400" w:lineRule="exact"/>
              <w:ind w:firstLine="420" w:firstLineChars="200"/>
              <w:rPr>
                <w:rFonts w:ascii="宋体" w:hAnsi="宋体"/>
                <w:szCs w:val="21"/>
                <w:highlight w:val="cyan"/>
              </w:rPr>
            </w:pPr>
            <w:r>
              <w:rPr>
                <w:rFonts w:ascii="宋体" w:hAnsi="宋体"/>
                <w:kern w:val="0"/>
                <w:szCs w:val="21"/>
              </w:rPr>
              <w:t>开标</w:t>
            </w:r>
            <w:r>
              <w:rPr>
                <w:rFonts w:ascii="宋体" w:hAnsi="宋体"/>
                <w:color w:val="auto"/>
                <w:kern w:val="0"/>
                <w:szCs w:val="21"/>
                <w:highlight w:val="none"/>
              </w:rPr>
              <w:t>时间：</w:t>
            </w:r>
            <w:r>
              <w:rPr>
                <w:rFonts w:hint="eastAsia" w:ascii="宋体" w:hAnsi="宋体"/>
                <w:color w:val="auto"/>
                <w:szCs w:val="21"/>
                <w:highlight w:val="none"/>
              </w:rPr>
              <w:t>2</w:t>
            </w:r>
            <w:r>
              <w:rPr>
                <w:rFonts w:ascii="宋体" w:hAnsi="宋体"/>
                <w:color w:val="auto"/>
                <w:szCs w:val="21"/>
                <w:highlight w:val="none"/>
              </w:rPr>
              <w:t>022年5</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16</w:t>
            </w:r>
            <w:r>
              <w:rPr>
                <w:rFonts w:hint="eastAsia" w:ascii="宋体" w:hAnsi="宋体"/>
                <w:color w:val="auto"/>
                <w:szCs w:val="21"/>
                <w:highlight w:val="none"/>
              </w:rPr>
              <w:t>日</w:t>
            </w:r>
            <w:r>
              <w:rPr>
                <w:rFonts w:hint="eastAsia" w:ascii="宋体" w:hAnsi="宋体"/>
                <w:color w:val="auto"/>
                <w:szCs w:val="21"/>
                <w:highlight w:val="none"/>
                <w:lang w:eastAsia="zh-CN"/>
              </w:rPr>
              <w:t>上</w:t>
            </w:r>
            <w:r>
              <w:rPr>
                <w:rFonts w:hint="eastAsia" w:ascii="宋体" w:hAnsi="宋体"/>
                <w:color w:val="auto"/>
                <w:szCs w:val="21"/>
                <w:highlight w:val="none"/>
              </w:rPr>
              <w:t>午1</w:t>
            </w:r>
            <w:r>
              <w:rPr>
                <w:rFonts w:hint="eastAsia" w:ascii="宋体" w:hAnsi="宋体"/>
                <w:color w:val="auto"/>
                <w:szCs w:val="21"/>
                <w:highlight w:val="none"/>
                <w:lang w:val="en-US" w:eastAsia="zh-CN"/>
              </w:rPr>
              <w:t>0</w:t>
            </w:r>
            <w:r>
              <w:rPr>
                <w:rFonts w:hint="eastAsia" w:ascii="宋体" w:hAnsi="宋体"/>
                <w:color w:val="auto"/>
                <w:szCs w:val="21"/>
                <w:highlight w:val="none"/>
              </w:rPr>
              <w:t>点00分</w:t>
            </w:r>
          </w:p>
          <w:p>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5.1.2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解密时间</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szCs w:val="21"/>
              </w:rPr>
            </w:pPr>
            <w:r>
              <w:rPr>
                <w:rFonts w:hint="eastAsia" w:ascii="宋体" w:hAnsi="宋体"/>
                <w:szCs w:val="21"/>
              </w:rPr>
              <w:t>5.2</w:t>
            </w:r>
          </w:p>
        </w:tc>
        <w:tc>
          <w:tcPr>
            <w:tcW w:w="1451" w:type="dxa"/>
            <w:vAlign w:val="center"/>
          </w:tcPr>
          <w:p>
            <w:pPr>
              <w:snapToGrid w:val="0"/>
              <w:spacing w:line="400" w:lineRule="exact"/>
              <w:jc w:val="center"/>
              <w:rPr>
                <w:rFonts w:ascii="宋体" w:hAnsi="宋体"/>
                <w:szCs w:val="21"/>
              </w:rPr>
            </w:pPr>
            <w:r>
              <w:rPr>
                <w:rFonts w:hint="eastAsia" w:ascii="宋体" w:hAnsi="宋体"/>
                <w:szCs w:val="21"/>
              </w:rPr>
              <w:t>开标程序</w:t>
            </w:r>
          </w:p>
        </w:tc>
        <w:tc>
          <w:tcPr>
            <w:tcW w:w="6683" w:type="dxa"/>
            <w:vAlign w:val="center"/>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 开标时间（应与投标截止时间一致），经采购人确认开标开始后，开启各投标人按时递交的投标文件，公布投标人名单。</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公布最高限价，采用经评审最低投标价法的还需计算最高限价的85%数值，以便评标委员会评审。</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 公布投标人名称、投标报价、质量目标、工期及其他内容。</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 投标人对开标有异议的，应当场提出，由采购人当场答复，并记录到开标记录表中。异议处理完毕后，汇总开标情况，打印开标记录表。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 投标人代表、采购人代表、监标人、主持人、记录人等有关人员在开标记录上签字确认。因其他原因未能签字的，视为默认开标结果。</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由采购人依法自行组建评标委员会。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r>
              <w:rPr>
                <w:rFonts w:ascii="宋体" w:hAnsi="宋体"/>
                <w:i/>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7.2</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cs="宋体"/>
                <w:szCs w:val="21"/>
              </w:rPr>
              <w:t>采购人在收到评标报告后3日内将评标结果在</w:t>
            </w:r>
            <w:r>
              <w:rPr>
                <w:rFonts w:hint="eastAsia" w:ascii="宋体" w:hAnsi="宋体"/>
                <w:snapToGrid w:val="0"/>
                <w:kern w:val="0"/>
                <w:szCs w:val="21"/>
              </w:rPr>
              <w:t>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fldChar w:fldCharType="end"/>
            </w:r>
            <w:r>
              <w:rPr>
                <w:rFonts w:hint="eastAsia" w:ascii="宋体" w:hAnsi="宋体"/>
                <w:snapToGrid w:val="0"/>
                <w:kern w:val="0"/>
                <w:szCs w:val="21"/>
                <w:u w:val="single"/>
              </w:rPr>
              <w:t>）</w:t>
            </w:r>
            <w:r>
              <w:rPr>
                <w:rFonts w:hint="eastAsia" w:ascii="宋体" w:hAnsi="宋体" w:cs="宋体"/>
                <w:szCs w:val="21"/>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kern w:val="0"/>
                <w:szCs w:val="21"/>
              </w:rPr>
            </w:pPr>
            <w:r>
              <w:rPr>
                <w:rFonts w:hint="eastAsia" w:ascii="宋体" w:hAnsi="宋体"/>
                <w:kern w:val="0"/>
                <w:szCs w:val="21"/>
              </w:rPr>
              <w:t>（2）履约担保的金额：</w:t>
            </w:r>
            <w:r>
              <w:rPr>
                <w:rFonts w:hint="eastAsia" w:ascii="宋体" w:hAnsi="宋体"/>
                <w:kern w:val="0"/>
                <w:szCs w:val="21"/>
                <w:highlight w:val="none"/>
                <w:u w:val="single"/>
              </w:rPr>
              <w:t xml:space="preserve"> </w:t>
            </w:r>
            <w:r>
              <w:rPr>
                <w:rFonts w:hint="eastAsia" w:ascii="宋体" w:hAnsi="宋体"/>
                <w:szCs w:val="32"/>
                <w:highlight w:val="none"/>
                <w:u w:val="single"/>
                <w:lang w:val="en-US" w:eastAsia="zh-CN"/>
              </w:rPr>
              <w:t>15万元</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8.1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重新</w:t>
            </w:r>
            <w:r>
              <w:rPr>
                <w:rFonts w:hint="eastAsia" w:ascii="宋体" w:hAnsi="宋体"/>
                <w:kern w:val="0"/>
                <w:szCs w:val="21"/>
              </w:rPr>
              <w:t>采购的情形</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pPr>
              <w:snapToGrid w:val="0"/>
              <w:spacing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5.投标人之和少于3个的。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pPr>
              <w:snapToGrid w:val="0"/>
              <w:spacing w:line="400" w:lineRule="exact"/>
              <w:jc w:val="center"/>
            </w:pPr>
            <w:bookmarkStart w:id="80" w:name="_Toc536628250"/>
            <w:bookmarkStart w:id="81" w:name="_Toc16930431"/>
            <w:bookmarkStart w:id="82" w:name="_Toc13210670"/>
            <w:bookmarkStart w:id="83" w:name="_Toc509218709"/>
            <w:bookmarkStart w:id="84" w:name="_Toc430530434"/>
            <w:r>
              <w:rPr>
                <w:rFonts w:hint="eastAsia" w:ascii="宋体" w:hAnsi="宋体"/>
                <w:kern w:val="0"/>
                <w:szCs w:val="21"/>
              </w:rPr>
              <w:t>重新采购</w:t>
            </w:r>
            <w:r>
              <w:rPr>
                <w:rFonts w:ascii="宋体" w:hAnsi="宋体"/>
                <w:kern w:val="0"/>
                <w:szCs w:val="21"/>
              </w:rPr>
              <w:t>和不再</w:t>
            </w:r>
            <w:bookmarkEnd w:id="80"/>
            <w:bookmarkEnd w:id="81"/>
            <w:bookmarkEnd w:id="82"/>
            <w:bookmarkEnd w:id="83"/>
            <w:bookmarkEnd w:id="84"/>
            <w:r>
              <w:rPr>
                <w:rFonts w:hint="eastAsia" w:ascii="宋体" w:hAnsi="宋体"/>
                <w:kern w:val="0"/>
                <w:szCs w:val="21"/>
              </w:rPr>
              <w:t>采购</w:t>
            </w:r>
          </w:p>
        </w:tc>
        <w:tc>
          <w:tcPr>
            <w:tcW w:w="6683"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9</w:t>
            </w:r>
            <w:r>
              <w:rPr>
                <w:rFonts w:hint="eastAsia" w:ascii="宋体" w:hAnsi="宋体"/>
                <w:kern w:val="0"/>
                <w:szCs w:val="21"/>
              </w:rPr>
              <w:t>.</w:t>
            </w:r>
            <w:r>
              <w:rPr>
                <w:rFonts w:ascii="宋体" w:hAnsi="宋体"/>
                <w:kern w:val="0"/>
                <w:szCs w:val="21"/>
              </w:rPr>
              <w:t>1</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低价风险担保</w:t>
            </w:r>
          </w:p>
        </w:tc>
        <w:tc>
          <w:tcPr>
            <w:tcW w:w="668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Style w:val="55"/>
              </w:rPr>
              <w:t>且最高不超过最高限价的85%</w:t>
            </w:r>
            <w:r>
              <w:rPr>
                <w:rStyle w:val="55"/>
                <w:rFonts w:hint="eastAsia"/>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从采购人低价风险担保书面通知送达拟中标人之日起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widowControl/>
              <w:spacing w:line="400" w:lineRule="exact"/>
              <w:ind w:firstLine="420" w:firstLineChars="200"/>
              <w:rPr>
                <w:rFonts w:ascii="宋体" w:hAnsi="宋体"/>
                <w:kern w:val="0"/>
                <w:szCs w:val="21"/>
              </w:rPr>
            </w:pPr>
            <w:r>
              <w:rPr>
                <w:rFonts w:hint="eastAsia"/>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10.7</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关于对采购文件及投标争议的解释</w:t>
            </w:r>
          </w:p>
        </w:tc>
        <w:tc>
          <w:tcPr>
            <w:tcW w:w="668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对资格预审文件或者采购文件的评标标准和方法，以及资格审查和否决投标条款理解有争议的，应当作出不利于采购人的解释，但违背国家利益、社会公共利益的除外。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10.9</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其他</w:t>
            </w:r>
          </w:p>
        </w:tc>
        <w:tc>
          <w:tcPr>
            <w:tcW w:w="6683" w:type="dxa"/>
            <w:vAlign w:val="center"/>
          </w:tcPr>
          <w:p>
            <w:pPr>
              <w:spacing w:line="360" w:lineRule="auto"/>
              <w:ind w:firstLine="422" w:firstLineChars="200"/>
              <w:jc w:val="left"/>
              <w:rPr>
                <w:rFonts w:ascii="宋体" w:hAnsi="宋体"/>
                <w:b/>
                <w:bCs/>
                <w:szCs w:val="21"/>
              </w:rPr>
            </w:pPr>
            <w:r>
              <w:rPr>
                <w:rFonts w:hint="eastAsia" w:ascii="宋体" w:hAnsi="宋体"/>
                <w:b/>
                <w:bCs/>
                <w:kern w:val="0"/>
                <w:szCs w:val="21"/>
              </w:rPr>
              <w:t>1、</w:t>
            </w:r>
            <w:r>
              <w:rPr>
                <w:rFonts w:hint="eastAsia" w:ascii="宋体" w:hAnsi="宋体"/>
                <w:b/>
                <w:bCs/>
                <w:szCs w:val="21"/>
              </w:rPr>
              <w:t>进度款支付：</w:t>
            </w:r>
          </w:p>
          <w:p>
            <w:pPr>
              <w:spacing w:line="360" w:lineRule="auto"/>
              <w:ind w:firstLine="420" w:firstLineChars="200"/>
              <w:jc w:val="left"/>
              <w:rPr>
                <w:color w:val="auto"/>
                <w:highlight w:val="none"/>
              </w:rPr>
            </w:pPr>
            <w:r>
              <w:rPr>
                <w:rFonts w:hint="eastAsia"/>
              </w:rPr>
              <w:t>按施工次数支付</w:t>
            </w:r>
            <w:r>
              <w:rPr>
                <w:rFonts w:hint="eastAsia"/>
                <w:lang w:eastAsia="zh-CN"/>
              </w:rPr>
              <w:t>，</w:t>
            </w:r>
            <w:r>
              <w:rPr>
                <w:rFonts w:hint="eastAsia"/>
              </w:rPr>
              <w:t>在每次施工完成并经验收合格后于15个工作日内支付该次</w:t>
            </w:r>
            <w:r>
              <w:rPr>
                <w:rFonts w:hint="eastAsia"/>
                <w:lang w:eastAsia="zh-CN"/>
              </w:rPr>
              <w:t>审定</w:t>
            </w:r>
            <w:r>
              <w:rPr>
                <w:rFonts w:hint="eastAsia"/>
              </w:rPr>
              <w:t>施工费用</w:t>
            </w:r>
            <w:r>
              <w:rPr>
                <w:rFonts w:hint="eastAsia"/>
                <w:color w:val="auto"/>
                <w:highlight w:val="none"/>
              </w:rPr>
              <w:t>。</w:t>
            </w:r>
          </w:p>
          <w:p>
            <w:pPr>
              <w:spacing w:line="360" w:lineRule="auto"/>
              <w:ind w:firstLine="422" w:firstLineChars="200"/>
              <w:jc w:val="left"/>
              <w:rPr>
                <w:rFonts w:ascii="宋体" w:hAnsi="宋体"/>
                <w:b/>
                <w:bCs/>
                <w:color w:val="auto"/>
                <w:kern w:val="0"/>
                <w:szCs w:val="21"/>
                <w:highlight w:val="none"/>
              </w:rPr>
            </w:pPr>
            <w:r>
              <w:rPr>
                <w:rFonts w:hint="eastAsia" w:ascii="宋体" w:hAnsi="宋体"/>
                <w:b/>
                <w:bCs/>
                <w:color w:val="auto"/>
                <w:kern w:val="0"/>
                <w:szCs w:val="21"/>
                <w:highlight w:val="none"/>
                <w:lang w:val="en-US" w:eastAsia="zh-CN"/>
              </w:rPr>
              <w:t>2</w:t>
            </w:r>
            <w:r>
              <w:rPr>
                <w:rFonts w:hint="eastAsia" w:ascii="宋体" w:hAnsi="宋体"/>
                <w:b/>
                <w:bCs/>
                <w:color w:val="auto"/>
                <w:kern w:val="0"/>
                <w:szCs w:val="21"/>
                <w:highlight w:val="none"/>
              </w:rPr>
              <w:t>、结算原则：</w:t>
            </w:r>
          </w:p>
          <w:p>
            <w:pPr>
              <w:spacing w:line="360" w:lineRule="auto"/>
              <w:ind w:firstLine="420" w:firstLineChars="200"/>
              <w:jc w:val="left"/>
              <w:rPr>
                <w:rFonts w:hint="eastAsia"/>
                <w:lang w:eastAsia="zh-CN"/>
              </w:rPr>
            </w:pPr>
            <w:r>
              <w:rPr>
                <w:rFonts w:hint="eastAsia"/>
              </w:rPr>
              <w:t>结算价=</w:t>
            </w:r>
            <w:r>
              <w:rPr>
                <w:rFonts w:hint="eastAsia"/>
                <w:lang w:eastAsia="zh-CN"/>
              </w:rPr>
              <w:t>招标人提供的全费用综合单价</w:t>
            </w:r>
            <w:r>
              <w:rPr>
                <w:rFonts w:hint="default"/>
              </w:rPr>
              <w:t>×</w:t>
            </w:r>
            <w:r>
              <w:rPr>
                <w:rFonts w:hint="eastAsia"/>
              </w:rPr>
              <w:t>已完工合格分部分项工程量</w:t>
            </w:r>
            <w:r>
              <w:rPr>
                <w:rFonts w:hint="default"/>
              </w:rPr>
              <w:t>×</w:t>
            </w:r>
            <w:r>
              <w:rPr>
                <w:rFonts w:hint="eastAsia"/>
                <w:lang w:eastAsia="zh-CN"/>
              </w:rPr>
              <w:t>投标人统一报价系数。</w:t>
            </w:r>
          </w:p>
          <w:p>
            <w:pPr>
              <w:spacing w:line="360" w:lineRule="auto"/>
              <w:ind w:firstLine="420" w:firstLineChars="200"/>
              <w:jc w:val="left"/>
              <w:rPr>
                <w:rFonts w:hint="default"/>
                <w:lang w:val="en-US" w:eastAsia="zh-CN"/>
              </w:rPr>
            </w:pPr>
            <w:r>
              <w:rPr>
                <w:rFonts w:hint="eastAsia"/>
                <w:lang w:val="en-US" w:eastAsia="zh-CN"/>
              </w:rPr>
              <w:t>变更及调整、施工过程中出现新增项目（含采购范围以外的项目）价款结算办法：工程施工中出现新增项目，由中标人在该项变更、新增项目启动前14天内向采购人提出，由采购人审定最终综合单价。</w:t>
            </w:r>
          </w:p>
          <w:p>
            <w:pPr>
              <w:spacing w:line="360" w:lineRule="auto"/>
              <w:ind w:firstLine="420" w:firstLineChars="200"/>
              <w:jc w:val="left"/>
            </w:pPr>
            <w:r>
              <w:rPr>
                <w:rFonts w:hint="eastAsia"/>
              </w:rPr>
              <w:t>本工程结算以审核结果为准，若需相关部门结（决）算审查的，采购人将对工程结算审核价款进行调整，最后价格以调整后的为准。审计依据包括本合同以及政府审计相关法律法规及规范性文件。</w:t>
            </w:r>
          </w:p>
        </w:tc>
      </w:tr>
    </w:tbl>
    <w:p>
      <w:pPr>
        <w:pStyle w:val="4"/>
        <w:spacing w:before="0" w:after="0" w:line="20" w:lineRule="exact"/>
        <w:rPr>
          <w:rFonts w:ascii="宋体" w:hAnsi="宋体"/>
          <w:b w:val="0"/>
          <w:snapToGrid w:val="0"/>
        </w:rPr>
      </w:pPr>
      <w:bookmarkStart w:id="85" w:name="_Toc287620685"/>
      <w:bookmarkStart w:id="86" w:name="_Toc224103317"/>
      <w:bookmarkStart w:id="87" w:name="_Toc277082552"/>
      <w:bookmarkStart w:id="88" w:name="_Toc287607746"/>
      <w:bookmarkStart w:id="89" w:name="_Toc200513126"/>
      <w:bookmarkStart w:id="90" w:name="_Toc430530435"/>
    </w:p>
    <w:p>
      <w:pPr>
        <w:pStyle w:val="4"/>
        <w:spacing w:before="0" w:after="0" w:line="200" w:lineRule="exact"/>
        <w:rPr>
          <w:rFonts w:ascii="宋体" w:hAnsi="宋体"/>
          <w:b w:val="0"/>
          <w:snapToGrid w:val="0"/>
        </w:rPr>
      </w:pPr>
      <w:r>
        <w:rPr>
          <w:rFonts w:ascii="宋体" w:hAnsi="宋体"/>
          <w:b w:val="0"/>
          <w:snapToGrid w:val="0"/>
        </w:rPr>
        <w:br w:type="page"/>
      </w:r>
    </w:p>
    <w:p>
      <w:pPr>
        <w:pStyle w:val="4"/>
        <w:spacing w:before="0" w:after="0" w:line="360" w:lineRule="auto"/>
        <w:rPr>
          <w:rFonts w:ascii="宋体" w:hAnsi="宋体"/>
          <w:b w:val="0"/>
          <w:snapToGrid w:val="0"/>
        </w:rPr>
      </w:pPr>
      <w:bookmarkStart w:id="91" w:name="_Toc29380"/>
      <w:bookmarkStart w:id="92" w:name="_Toc509218710"/>
      <w:r>
        <w:rPr>
          <w:rFonts w:ascii="宋体" w:hAnsi="宋体"/>
          <w:b w:val="0"/>
          <w:snapToGrid w:val="0"/>
        </w:rPr>
        <w:t>1.  总则</w:t>
      </w:r>
      <w:bookmarkEnd w:id="85"/>
      <w:bookmarkEnd w:id="86"/>
      <w:bookmarkEnd w:id="87"/>
      <w:bookmarkEnd w:id="88"/>
      <w:bookmarkEnd w:id="89"/>
      <w:bookmarkEnd w:id="90"/>
      <w:bookmarkEnd w:id="91"/>
      <w:bookmarkEnd w:id="92"/>
    </w:p>
    <w:p>
      <w:pPr>
        <w:pStyle w:val="5"/>
        <w:snapToGrid w:val="0"/>
        <w:spacing w:before="0" w:after="0" w:line="360" w:lineRule="auto"/>
        <w:rPr>
          <w:rFonts w:ascii="宋体" w:hAnsi="宋体"/>
          <w:b w:val="0"/>
          <w:snapToGrid w:val="0"/>
          <w:sz w:val="24"/>
          <w:szCs w:val="24"/>
        </w:rPr>
      </w:pPr>
      <w:bookmarkStart w:id="93" w:name="_Toc509218711"/>
      <w:bookmarkStart w:id="94" w:name="_Toc200513127"/>
      <w:bookmarkStart w:id="95" w:name="_Toc277082553"/>
      <w:bookmarkStart w:id="96" w:name="_Toc224103318"/>
      <w:bookmarkStart w:id="97" w:name="_Toc287620686"/>
      <w:bookmarkStart w:id="98" w:name="_Toc464"/>
      <w:bookmarkStart w:id="99" w:name="_Toc287607747"/>
      <w:bookmarkStart w:id="100" w:name="_Toc430530436"/>
      <w:r>
        <w:rPr>
          <w:rFonts w:ascii="宋体" w:hAnsi="宋体"/>
          <w:b w:val="0"/>
          <w:snapToGrid w:val="0"/>
          <w:sz w:val="24"/>
          <w:szCs w:val="24"/>
        </w:rPr>
        <w:t>1.1  项目概况</w:t>
      </w:r>
      <w:bookmarkEnd w:id="93"/>
      <w:bookmarkEnd w:id="94"/>
      <w:bookmarkEnd w:id="95"/>
      <w:bookmarkEnd w:id="96"/>
      <w:bookmarkEnd w:id="97"/>
      <w:bookmarkEnd w:id="98"/>
      <w:bookmarkEnd w:id="99"/>
      <w:bookmarkEnd w:id="10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w:t>
      </w:r>
      <w:r>
        <w:rPr>
          <w:rFonts w:hint="eastAsia" w:ascii="宋体" w:hAnsi="宋体"/>
          <w:snapToGrid w:val="0"/>
          <w:kern w:val="0"/>
          <w:szCs w:val="21"/>
        </w:rPr>
        <w:t>采购</w:t>
      </w:r>
      <w:r>
        <w:rPr>
          <w:rFonts w:ascii="宋体" w:hAnsi="宋体"/>
          <w:snapToGrid w:val="0"/>
          <w:kern w:val="0"/>
          <w:szCs w:val="21"/>
        </w:rPr>
        <w:t>投标法》等有关法律、法规和规章的规定，本</w:t>
      </w:r>
      <w:r>
        <w:rPr>
          <w:rFonts w:hint="eastAsia" w:ascii="宋体" w:hAnsi="宋体"/>
          <w:snapToGrid w:val="0"/>
          <w:kern w:val="0"/>
          <w:szCs w:val="21"/>
        </w:rPr>
        <w:t>采购</w:t>
      </w:r>
      <w:r>
        <w:rPr>
          <w:rFonts w:ascii="宋体" w:hAnsi="宋体"/>
          <w:snapToGrid w:val="0"/>
          <w:kern w:val="0"/>
          <w:szCs w:val="21"/>
        </w:rPr>
        <w:t>项目已具备</w:t>
      </w:r>
      <w:r>
        <w:rPr>
          <w:rFonts w:hint="eastAsia" w:ascii="宋体" w:hAnsi="宋体"/>
          <w:snapToGrid w:val="0"/>
          <w:kern w:val="0"/>
          <w:szCs w:val="21"/>
        </w:rPr>
        <w:t>采购</w:t>
      </w:r>
      <w:r>
        <w:rPr>
          <w:rFonts w:ascii="宋体" w:hAnsi="宋体"/>
          <w:snapToGrid w:val="0"/>
          <w:kern w:val="0"/>
          <w:szCs w:val="21"/>
        </w:rPr>
        <w:t>条件，现对本</w:t>
      </w:r>
      <w:r>
        <w:rPr>
          <w:rFonts w:hint="eastAsia" w:ascii="宋体" w:hAnsi="宋体"/>
          <w:snapToGrid w:val="0"/>
          <w:kern w:val="0"/>
          <w:szCs w:val="21"/>
        </w:rPr>
        <w:t>项目</w:t>
      </w:r>
      <w:r>
        <w:rPr>
          <w:rFonts w:ascii="宋体" w:hAnsi="宋体"/>
          <w:snapToGrid w:val="0"/>
          <w:kern w:val="0"/>
          <w:szCs w:val="21"/>
        </w:rPr>
        <w:t>施工进行</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人：见投标人须知前附表。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代理机构：见投标人须知前附表。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rPr>
        <w:t>采购</w:t>
      </w:r>
      <w:r>
        <w:rPr>
          <w:rFonts w:ascii="宋体" w:hAnsi="宋体"/>
          <w:snapToGrid w:val="0"/>
          <w:kern w:val="0"/>
          <w:szCs w:val="21"/>
        </w:rPr>
        <w:t>项目名称：见投标人须知前附表。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rPr>
        <w:t>采购</w:t>
      </w:r>
      <w:r>
        <w:rPr>
          <w:rFonts w:ascii="宋体" w:hAnsi="宋体"/>
          <w:snapToGrid w:val="0"/>
          <w:kern w:val="0"/>
          <w:szCs w:val="21"/>
        </w:rPr>
        <w:t>项目建设地点：见投标人须知前附表。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rPr>
        <w:t>采购</w:t>
      </w:r>
      <w:r>
        <w:rPr>
          <w:rFonts w:ascii="宋体" w:hAnsi="宋体"/>
          <w:snapToGrid w:val="0"/>
          <w:kern w:val="0"/>
          <w:szCs w:val="21"/>
        </w:rPr>
        <w:t>项目建设规模：见投标人须知前附表。</w:t>
      </w:r>
    </w:p>
    <w:p>
      <w:pPr>
        <w:pStyle w:val="5"/>
        <w:snapToGrid w:val="0"/>
        <w:spacing w:before="0" w:after="0" w:line="360" w:lineRule="auto"/>
        <w:rPr>
          <w:rFonts w:ascii="宋体" w:hAnsi="宋体"/>
          <w:b w:val="0"/>
          <w:snapToGrid w:val="0"/>
          <w:sz w:val="24"/>
          <w:szCs w:val="24"/>
        </w:rPr>
      </w:pPr>
      <w:bookmarkStart w:id="101" w:name="_Toc20757"/>
      <w:bookmarkStart w:id="102" w:name="_Toc224103319"/>
      <w:bookmarkStart w:id="103" w:name="_Toc277082554"/>
      <w:bookmarkStart w:id="104" w:name="_Toc287620687"/>
      <w:bookmarkStart w:id="105" w:name="_Toc287607748"/>
      <w:bookmarkStart w:id="106" w:name="_Toc509218712"/>
      <w:bookmarkStart w:id="107" w:name="_Toc430530437"/>
      <w:bookmarkStart w:id="108" w:name="_Toc200513128"/>
      <w:r>
        <w:rPr>
          <w:rFonts w:ascii="宋体" w:hAnsi="宋体"/>
          <w:b w:val="0"/>
          <w:snapToGrid w:val="0"/>
          <w:sz w:val="24"/>
          <w:szCs w:val="24"/>
        </w:rPr>
        <w:t>1.2  资金来源和落实情况</w:t>
      </w:r>
      <w:bookmarkEnd w:id="101"/>
      <w:bookmarkEnd w:id="102"/>
      <w:bookmarkEnd w:id="103"/>
      <w:bookmarkEnd w:id="104"/>
      <w:bookmarkEnd w:id="105"/>
      <w:bookmarkEnd w:id="106"/>
      <w:bookmarkEnd w:id="107"/>
      <w:bookmarkEnd w:id="10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rPr>
        <w:t>采购</w:t>
      </w:r>
      <w:r>
        <w:rPr>
          <w:rFonts w:ascii="宋体" w:hAnsi="宋体"/>
          <w:snapToGrid w:val="0"/>
          <w:kern w:val="0"/>
          <w:szCs w:val="21"/>
        </w:rPr>
        <w:t>项目的资金来源：见投标人须知前附表。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rPr>
        <w:t>采购</w:t>
      </w:r>
      <w:r>
        <w:rPr>
          <w:rFonts w:ascii="宋体" w:hAnsi="宋体"/>
          <w:snapToGrid w:val="0"/>
          <w:kern w:val="0"/>
          <w:szCs w:val="21"/>
        </w:rPr>
        <w:t>项目的出资比例：见投标人须知前附表。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rPr>
        <w:t>采购</w:t>
      </w:r>
      <w:r>
        <w:rPr>
          <w:rFonts w:ascii="宋体" w:hAnsi="宋体"/>
          <w:snapToGrid w:val="0"/>
          <w:kern w:val="0"/>
          <w:szCs w:val="21"/>
        </w:rPr>
        <w:t>项目的资金落实情况：见投标人须知前附表。</w:t>
      </w:r>
    </w:p>
    <w:p>
      <w:pPr>
        <w:pStyle w:val="5"/>
        <w:snapToGrid w:val="0"/>
        <w:spacing w:before="0" w:after="0" w:line="360" w:lineRule="auto"/>
        <w:rPr>
          <w:rFonts w:ascii="宋体" w:hAnsi="宋体"/>
          <w:b w:val="0"/>
          <w:snapToGrid w:val="0"/>
          <w:sz w:val="24"/>
          <w:szCs w:val="24"/>
        </w:rPr>
      </w:pPr>
      <w:bookmarkStart w:id="109" w:name="_Toc287620688"/>
      <w:bookmarkStart w:id="110" w:name="_Toc287607749"/>
      <w:bookmarkStart w:id="111" w:name="_Toc277082555"/>
      <w:bookmarkStart w:id="112" w:name="_Toc509218713"/>
      <w:bookmarkStart w:id="113" w:name="_Toc254"/>
      <w:bookmarkStart w:id="114" w:name="_Toc224103320"/>
      <w:bookmarkStart w:id="115" w:name="_Toc200513129"/>
      <w:bookmarkStart w:id="116" w:name="_Toc430530438"/>
      <w:r>
        <w:rPr>
          <w:rFonts w:ascii="宋体" w:hAnsi="宋体"/>
          <w:b w:val="0"/>
          <w:snapToGrid w:val="0"/>
          <w:sz w:val="24"/>
          <w:szCs w:val="24"/>
        </w:rPr>
        <w:t xml:space="preserve">1.3  </w:t>
      </w:r>
      <w:r>
        <w:rPr>
          <w:rFonts w:hint="eastAsia" w:ascii="宋体" w:hAnsi="宋体"/>
          <w:b w:val="0"/>
          <w:snapToGrid w:val="0"/>
          <w:sz w:val="24"/>
          <w:szCs w:val="24"/>
        </w:rPr>
        <w:t>采购</w:t>
      </w:r>
      <w:r>
        <w:rPr>
          <w:rFonts w:ascii="宋体" w:hAnsi="宋体"/>
          <w:b w:val="0"/>
          <w:snapToGrid w:val="0"/>
          <w:sz w:val="24"/>
          <w:szCs w:val="24"/>
        </w:rPr>
        <w:t>范围、计划工期和质量要求</w:t>
      </w:r>
      <w:bookmarkEnd w:id="109"/>
      <w:bookmarkEnd w:id="110"/>
      <w:bookmarkEnd w:id="111"/>
      <w:bookmarkEnd w:id="112"/>
      <w:bookmarkEnd w:id="113"/>
      <w:bookmarkEnd w:id="114"/>
      <w:bookmarkEnd w:id="115"/>
      <w:bookmarkEnd w:id="11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采购</w:t>
      </w:r>
      <w:r>
        <w:rPr>
          <w:rFonts w:ascii="宋体" w:hAnsi="宋体"/>
          <w:snapToGrid w:val="0"/>
          <w:kern w:val="0"/>
          <w:szCs w:val="21"/>
        </w:rPr>
        <w:t>范围：见投标人须知前附表。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pPr>
        <w:pStyle w:val="5"/>
        <w:snapToGrid w:val="0"/>
        <w:spacing w:before="0" w:after="0" w:line="360" w:lineRule="auto"/>
        <w:rPr>
          <w:rFonts w:ascii="宋体" w:hAnsi="宋体"/>
          <w:b w:val="0"/>
          <w:snapToGrid w:val="0"/>
          <w:sz w:val="24"/>
          <w:szCs w:val="24"/>
        </w:rPr>
      </w:pPr>
      <w:bookmarkStart w:id="117" w:name="_Toc430530440"/>
      <w:bookmarkStart w:id="118" w:name="_Toc25787"/>
      <w:bookmarkStart w:id="119" w:name="_Toc277082557"/>
      <w:bookmarkStart w:id="120" w:name="_Toc287620690"/>
      <w:bookmarkStart w:id="121" w:name="_Toc509218715"/>
      <w:bookmarkStart w:id="122" w:name="_Toc287607751"/>
      <w:bookmarkStart w:id="123" w:name="_Toc224103322"/>
      <w:bookmarkStart w:id="124" w:name="_Toc200513131"/>
      <w:r>
        <w:rPr>
          <w:rFonts w:ascii="宋体" w:hAnsi="宋体"/>
          <w:b w:val="0"/>
          <w:snapToGrid w:val="0"/>
          <w:sz w:val="24"/>
          <w:szCs w:val="24"/>
        </w:rPr>
        <w:t>1.4  投标人资格要求</w:t>
      </w:r>
      <w:bookmarkEnd w:id="117"/>
      <w:bookmarkEnd w:id="118"/>
      <w:bookmarkEnd w:id="119"/>
      <w:bookmarkEnd w:id="120"/>
      <w:bookmarkEnd w:id="121"/>
      <w:bookmarkEnd w:id="122"/>
      <w:bookmarkEnd w:id="123"/>
      <w:bookmarkEnd w:id="12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（2）财务要求：见投标人须知前附表；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（3）业绩要求：见投标人须知前附表；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w:t>
      </w:r>
      <w:r>
        <w:rPr>
          <w:rFonts w:hint="eastAsia" w:ascii="宋体" w:hAnsi="宋体"/>
          <w:snapToGrid w:val="0"/>
          <w:kern w:val="0"/>
          <w:szCs w:val="21"/>
          <w:highlight w:val="none"/>
        </w:rPr>
        <w:t>投标截止日投标资格情况</w:t>
      </w:r>
      <w:r>
        <w:rPr>
          <w:rFonts w:ascii="宋体" w:hAnsi="宋体"/>
          <w:snapToGrid w:val="0"/>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（5）项目经理资格</w:t>
      </w:r>
      <w:r>
        <w:rPr>
          <w:rFonts w:hint="eastAsia" w:ascii="宋体" w:hAnsi="宋体"/>
          <w:snapToGrid w:val="0"/>
          <w:kern w:val="0"/>
          <w:szCs w:val="21"/>
          <w:highlight w:val="none"/>
        </w:rPr>
        <w:t>要求</w:t>
      </w:r>
      <w:r>
        <w:rPr>
          <w:rFonts w:ascii="宋体" w:hAnsi="宋体"/>
          <w:snapToGrid w:val="0"/>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（6）其他要求：见投标人须知前附表。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rPr>
        <w:t>采购</w:t>
      </w:r>
      <w:r>
        <w:rPr>
          <w:rFonts w:ascii="宋体" w:hAnsi="宋体"/>
          <w:snapToGrid w:val="0"/>
          <w:kern w:val="0"/>
          <w:szCs w:val="21"/>
        </w:rPr>
        <w:t>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rPr>
        <w:t>采购</w:t>
      </w:r>
      <w:r>
        <w:rPr>
          <w:rFonts w:ascii="宋体" w:hAnsi="宋体"/>
          <w:snapToGrid w:val="0"/>
          <w:kern w:val="0"/>
          <w:szCs w:val="21"/>
        </w:rPr>
        <w:t>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采购</w:t>
      </w:r>
      <w:r>
        <w:rPr>
          <w:rFonts w:ascii="宋体" w:hAnsi="宋体"/>
          <w:snapToGrid w:val="0"/>
          <w:kern w:val="0"/>
          <w:position w:val="-2"/>
          <w:szCs w:val="21"/>
        </w:rPr>
        <w:t>人存在利害关系可能影响</w:t>
      </w:r>
      <w:r>
        <w:rPr>
          <w:rFonts w:hint="eastAsia" w:ascii="宋体" w:hAnsi="宋体"/>
          <w:snapToGrid w:val="0"/>
          <w:kern w:val="0"/>
          <w:position w:val="-2"/>
          <w:szCs w:val="21"/>
        </w:rPr>
        <w:t>采购</w:t>
      </w:r>
      <w:r>
        <w:rPr>
          <w:rFonts w:ascii="宋体" w:hAnsi="宋体"/>
          <w:snapToGrid w:val="0"/>
          <w:kern w:val="0"/>
          <w:position w:val="-2"/>
          <w:szCs w:val="21"/>
        </w:rPr>
        <w:t>公正性的法人、其他组织或者个人；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rPr>
        <w:t>采购</w:t>
      </w:r>
      <w:r>
        <w:rPr>
          <w:rFonts w:ascii="宋体" w:hAnsi="宋体"/>
          <w:snapToGrid w:val="0"/>
          <w:kern w:val="0"/>
          <w:szCs w:val="21"/>
        </w:rPr>
        <w:t>代理服务的；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采购</w:t>
      </w:r>
      <w:r>
        <w:rPr>
          <w:rFonts w:ascii="宋体" w:hAnsi="宋体"/>
          <w:snapToGrid w:val="0"/>
          <w:kern w:val="0"/>
          <w:szCs w:val="21"/>
        </w:rPr>
        <w:t>代理机构同为一个法定代表人的；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采购</w:t>
      </w:r>
      <w:r>
        <w:rPr>
          <w:rFonts w:ascii="宋体" w:hAnsi="宋体"/>
          <w:snapToGrid w:val="0"/>
          <w:kern w:val="0"/>
          <w:szCs w:val="21"/>
        </w:rPr>
        <w:t>代理机构相互控股或参股的；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采购</w:t>
      </w:r>
      <w:r>
        <w:rPr>
          <w:rFonts w:ascii="宋体" w:hAnsi="宋体"/>
          <w:snapToGrid w:val="0"/>
          <w:kern w:val="0"/>
          <w:szCs w:val="21"/>
        </w:rPr>
        <w:t>代理机构相互任职或工作的；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pPr>
        <w:pStyle w:val="5"/>
        <w:snapToGrid w:val="0"/>
        <w:spacing w:before="0" w:after="0" w:line="360" w:lineRule="auto"/>
        <w:rPr>
          <w:rFonts w:ascii="宋体" w:hAnsi="宋体"/>
          <w:b w:val="0"/>
          <w:snapToGrid w:val="0"/>
          <w:sz w:val="24"/>
          <w:szCs w:val="24"/>
        </w:rPr>
      </w:pPr>
      <w:bookmarkStart w:id="125" w:name="_Toc430530441"/>
      <w:bookmarkStart w:id="126" w:name="_Toc29714"/>
      <w:bookmarkStart w:id="127" w:name="_Toc224103323"/>
      <w:bookmarkStart w:id="128" w:name="_Toc200513132"/>
      <w:bookmarkStart w:id="129" w:name="_Toc287607752"/>
      <w:bookmarkStart w:id="130" w:name="_Toc509218716"/>
      <w:bookmarkStart w:id="131" w:name="_Toc277082558"/>
      <w:bookmarkStart w:id="132" w:name="_Toc287620691"/>
      <w:r>
        <w:rPr>
          <w:rFonts w:ascii="宋体" w:hAnsi="宋体"/>
          <w:b w:val="0"/>
          <w:snapToGrid w:val="0"/>
          <w:sz w:val="24"/>
          <w:szCs w:val="24"/>
        </w:rPr>
        <w:t>1.5  费用承担</w:t>
      </w:r>
      <w:bookmarkEnd w:id="125"/>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snapToGrid w:val="0"/>
        <w:spacing w:before="0" w:after="0" w:line="360" w:lineRule="auto"/>
        <w:rPr>
          <w:rFonts w:ascii="宋体" w:hAnsi="宋体"/>
          <w:b w:val="0"/>
          <w:snapToGrid w:val="0"/>
          <w:sz w:val="24"/>
          <w:szCs w:val="24"/>
        </w:rPr>
      </w:pPr>
      <w:bookmarkStart w:id="133" w:name="_Toc509218717"/>
      <w:bookmarkStart w:id="134" w:name="_Toc200513133"/>
      <w:bookmarkStart w:id="135" w:name="_Toc224103324"/>
      <w:bookmarkStart w:id="136" w:name="_Toc287620692"/>
      <w:bookmarkStart w:id="137" w:name="_Toc287607753"/>
      <w:bookmarkStart w:id="138" w:name="_Toc430530442"/>
      <w:bookmarkStart w:id="139" w:name="_Toc9481"/>
      <w:bookmarkStart w:id="140" w:name="_Toc277082559"/>
      <w:r>
        <w:rPr>
          <w:rFonts w:ascii="宋体" w:hAnsi="宋体"/>
          <w:b w:val="0"/>
          <w:snapToGrid w:val="0"/>
          <w:sz w:val="24"/>
          <w:szCs w:val="24"/>
        </w:rPr>
        <w:t>1.6  保密</w:t>
      </w:r>
      <w:bookmarkEnd w:id="133"/>
      <w:bookmarkEnd w:id="134"/>
      <w:bookmarkEnd w:id="135"/>
      <w:bookmarkEnd w:id="136"/>
      <w:bookmarkEnd w:id="137"/>
      <w:bookmarkEnd w:id="138"/>
      <w:bookmarkEnd w:id="139"/>
      <w:bookmarkEnd w:id="140"/>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rPr>
        <w:t>采购</w:t>
      </w:r>
      <w:r>
        <w:rPr>
          <w:rFonts w:ascii="宋体" w:hAnsi="宋体"/>
          <w:snapToGrid w:val="0"/>
          <w:kern w:val="0"/>
          <w:szCs w:val="21"/>
        </w:rPr>
        <w:t>投标活动的各方应对</w:t>
      </w:r>
      <w:r>
        <w:rPr>
          <w:rFonts w:hint="eastAsia" w:ascii="宋体" w:hAnsi="宋体"/>
          <w:snapToGrid w:val="0"/>
          <w:kern w:val="0"/>
          <w:szCs w:val="21"/>
        </w:rPr>
        <w:t>采购</w:t>
      </w:r>
      <w:r>
        <w:rPr>
          <w:rFonts w:ascii="宋体" w:hAnsi="宋体"/>
          <w:snapToGrid w:val="0"/>
          <w:kern w:val="0"/>
          <w:szCs w:val="21"/>
        </w:rPr>
        <w:t>文件和投标文件中的商业和技术等秘密保密，违者应对由此造成的后果承担法律责任。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rPr>
      </w:pPr>
      <w:bookmarkStart w:id="141" w:name="_Toc277082560"/>
      <w:bookmarkStart w:id="142" w:name="_Toc430530443"/>
      <w:bookmarkStart w:id="143" w:name="_Toc200513134"/>
      <w:bookmarkStart w:id="144" w:name="_Toc224103325"/>
      <w:bookmarkStart w:id="145" w:name="_Toc287620693"/>
      <w:bookmarkStart w:id="146" w:name="_Toc15202"/>
      <w:bookmarkStart w:id="147" w:name="_Toc287607754"/>
      <w:bookmarkStart w:id="148" w:name="_Toc509218718"/>
      <w:r>
        <w:rPr>
          <w:rFonts w:ascii="宋体" w:hAnsi="宋体"/>
          <w:b w:val="0"/>
          <w:snapToGrid w:val="0"/>
          <w:sz w:val="24"/>
          <w:szCs w:val="24"/>
        </w:rPr>
        <w:t>1.7  语言文字</w:t>
      </w:r>
      <w:bookmarkEnd w:id="141"/>
      <w:bookmarkEnd w:id="142"/>
      <w:bookmarkEnd w:id="143"/>
      <w:bookmarkEnd w:id="144"/>
      <w:bookmarkEnd w:id="145"/>
      <w:bookmarkEnd w:id="146"/>
      <w:bookmarkEnd w:id="147"/>
      <w:bookmarkEnd w:id="14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rPr>
        <w:t>采购</w:t>
      </w:r>
      <w:r>
        <w:rPr>
          <w:rFonts w:ascii="宋体" w:hAnsi="宋体"/>
          <w:snapToGrid w:val="0"/>
          <w:kern w:val="0"/>
          <w:szCs w:val="21"/>
        </w:rPr>
        <w:t>投标有关的语言均使用中文。必要时专用术语应附有中文注释。</w:t>
      </w:r>
    </w:p>
    <w:p>
      <w:pPr>
        <w:pStyle w:val="5"/>
        <w:snapToGrid w:val="0"/>
        <w:spacing w:before="0" w:after="0" w:line="360" w:lineRule="auto"/>
        <w:rPr>
          <w:rFonts w:ascii="宋体" w:hAnsi="宋体"/>
          <w:b w:val="0"/>
          <w:snapToGrid w:val="0"/>
          <w:sz w:val="24"/>
          <w:szCs w:val="24"/>
        </w:rPr>
      </w:pPr>
      <w:bookmarkStart w:id="149" w:name="_Toc430530444"/>
      <w:bookmarkStart w:id="150" w:name="_Toc224103326"/>
      <w:bookmarkStart w:id="151" w:name="_Toc277082561"/>
      <w:bookmarkStart w:id="152" w:name="_Toc287607755"/>
      <w:bookmarkStart w:id="153" w:name="_Toc27153"/>
      <w:bookmarkStart w:id="154" w:name="_Toc287620694"/>
      <w:bookmarkStart w:id="155" w:name="_Toc509218719"/>
      <w:bookmarkStart w:id="156" w:name="_Toc200513135"/>
      <w:r>
        <w:rPr>
          <w:rFonts w:ascii="宋体" w:hAnsi="宋体"/>
          <w:b w:val="0"/>
          <w:snapToGrid w:val="0"/>
          <w:sz w:val="24"/>
          <w:szCs w:val="24"/>
        </w:rPr>
        <w:t>1.8  计量单位</w:t>
      </w:r>
      <w:bookmarkEnd w:id="149"/>
      <w:bookmarkEnd w:id="150"/>
      <w:bookmarkEnd w:id="151"/>
      <w:bookmarkEnd w:id="152"/>
      <w:bookmarkEnd w:id="153"/>
      <w:bookmarkEnd w:id="154"/>
      <w:bookmarkEnd w:id="155"/>
      <w:bookmarkEnd w:id="156"/>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snapToGrid w:val="0"/>
        <w:spacing w:before="0" w:after="0" w:line="360" w:lineRule="auto"/>
        <w:rPr>
          <w:rFonts w:ascii="宋体" w:hAnsi="宋体"/>
          <w:b w:val="0"/>
          <w:snapToGrid w:val="0"/>
          <w:sz w:val="24"/>
          <w:szCs w:val="24"/>
        </w:rPr>
      </w:pPr>
      <w:bookmarkStart w:id="157" w:name="_Toc200513136"/>
      <w:bookmarkStart w:id="158" w:name="_Toc509218720"/>
      <w:bookmarkStart w:id="159" w:name="_Toc132"/>
      <w:bookmarkStart w:id="160" w:name="_Toc287607756"/>
      <w:bookmarkStart w:id="161" w:name="_Toc277082562"/>
      <w:bookmarkStart w:id="162" w:name="_Toc430530445"/>
      <w:bookmarkStart w:id="163" w:name="_Toc224103327"/>
      <w:bookmarkStart w:id="164" w:name="_Toc287620695"/>
      <w:r>
        <w:rPr>
          <w:rFonts w:ascii="宋体" w:hAnsi="宋体"/>
          <w:b w:val="0"/>
          <w:snapToGrid w:val="0"/>
          <w:sz w:val="24"/>
          <w:szCs w:val="24"/>
        </w:rPr>
        <w:t>1.9  踏勘现场</w:t>
      </w:r>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rPr>
        <w:t>采购</w:t>
      </w:r>
      <w:r>
        <w:rPr>
          <w:rFonts w:ascii="宋体" w:hAnsi="宋体"/>
          <w:snapToGrid w:val="0"/>
          <w:kern w:val="0"/>
          <w:szCs w:val="21"/>
        </w:rPr>
        <w:t>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采购</w:t>
      </w:r>
      <w:r>
        <w:rPr>
          <w:rFonts w:ascii="宋体" w:hAnsi="宋体"/>
          <w:snapToGrid w:val="0"/>
          <w:kern w:val="0"/>
          <w:szCs w:val="21"/>
        </w:rPr>
        <w:t>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采购</w:t>
      </w:r>
      <w:r>
        <w:rPr>
          <w:rFonts w:ascii="宋体" w:hAnsi="宋体"/>
          <w:snapToGrid w:val="0"/>
          <w:kern w:val="0"/>
          <w:szCs w:val="21"/>
        </w:rPr>
        <w:t>人在踏勘现场中介绍的工程场地和相关的周边环境情况，供投标人在编制投标文件时参考，</w:t>
      </w:r>
      <w:r>
        <w:rPr>
          <w:rFonts w:hint="eastAsia" w:ascii="宋体" w:hAnsi="宋体"/>
          <w:snapToGrid w:val="0"/>
          <w:kern w:val="0"/>
          <w:szCs w:val="21"/>
        </w:rPr>
        <w:t>采购</w:t>
      </w:r>
      <w:r>
        <w:rPr>
          <w:rFonts w:ascii="宋体" w:hAnsi="宋体"/>
          <w:snapToGrid w:val="0"/>
          <w:kern w:val="0"/>
          <w:szCs w:val="21"/>
        </w:rPr>
        <w:t>人不对投标人据此做出的判断和决策负责。</w:t>
      </w:r>
    </w:p>
    <w:p>
      <w:pPr>
        <w:pStyle w:val="5"/>
        <w:snapToGrid w:val="0"/>
        <w:spacing w:before="0" w:after="0" w:line="360" w:lineRule="auto"/>
        <w:rPr>
          <w:rFonts w:ascii="宋体" w:hAnsi="宋体"/>
          <w:b w:val="0"/>
          <w:snapToGrid w:val="0"/>
          <w:sz w:val="24"/>
          <w:szCs w:val="24"/>
        </w:rPr>
      </w:pPr>
      <w:bookmarkStart w:id="165" w:name="_Toc509218721"/>
      <w:bookmarkStart w:id="166" w:name="_Toc287607757"/>
      <w:bookmarkStart w:id="167" w:name="_Toc200513137"/>
      <w:bookmarkStart w:id="168" w:name="_Toc277082563"/>
      <w:bookmarkStart w:id="169" w:name="_Toc287620696"/>
      <w:bookmarkStart w:id="170" w:name="_Toc224103328"/>
      <w:bookmarkStart w:id="171" w:name="_Toc430530446"/>
      <w:bookmarkStart w:id="172" w:name="_Toc11926"/>
      <w:r>
        <w:rPr>
          <w:rFonts w:ascii="宋体" w:hAnsi="宋体"/>
          <w:b w:val="0"/>
          <w:snapToGrid w:val="0"/>
          <w:sz w:val="24"/>
          <w:szCs w:val="24"/>
        </w:rPr>
        <w:t>1.10  投标预备会</w:t>
      </w:r>
      <w:bookmarkEnd w:id="165"/>
      <w:bookmarkEnd w:id="166"/>
      <w:bookmarkEnd w:id="167"/>
      <w:bookmarkEnd w:id="168"/>
      <w:bookmarkEnd w:id="169"/>
      <w:bookmarkEnd w:id="170"/>
      <w:bookmarkEnd w:id="171"/>
      <w:bookmarkEnd w:id="172"/>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rPr>
        <w:t>采购</w:t>
      </w:r>
      <w:r>
        <w:rPr>
          <w:rFonts w:ascii="宋体" w:hAnsi="宋体"/>
          <w:snapToGrid w:val="0"/>
          <w:kern w:val="0"/>
          <w:szCs w:val="21"/>
        </w:rPr>
        <w:t>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hint="eastAsia" w:ascii="宋体" w:hAnsi="宋体"/>
          <w:snapToGrid w:val="0"/>
          <w:kern w:val="0"/>
          <w:szCs w:val="21"/>
        </w:rPr>
        <w:t>采购</w:t>
      </w:r>
      <w:r>
        <w:rPr>
          <w:rFonts w:ascii="宋体" w:hAnsi="宋体"/>
          <w:snapToGrid w:val="0"/>
          <w:kern w:val="0"/>
          <w:szCs w:val="21"/>
        </w:rPr>
        <w:t>人，以便</w:t>
      </w:r>
      <w:r>
        <w:rPr>
          <w:rFonts w:hint="eastAsia" w:ascii="宋体" w:hAnsi="宋体"/>
          <w:snapToGrid w:val="0"/>
          <w:kern w:val="0"/>
          <w:szCs w:val="21"/>
        </w:rPr>
        <w:t>采购</w:t>
      </w:r>
      <w:r>
        <w:rPr>
          <w:rFonts w:ascii="宋体" w:hAnsi="宋体"/>
          <w:snapToGrid w:val="0"/>
          <w:kern w:val="0"/>
          <w:szCs w:val="21"/>
        </w:rPr>
        <w:t>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采购</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采购</w:t>
      </w:r>
      <w:r>
        <w:rPr>
          <w:rFonts w:ascii="宋体" w:hAnsi="宋体"/>
          <w:snapToGrid w:val="0"/>
          <w:kern w:val="0"/>
          <w:position w:val="-2"/>
          <w:szCs w:val="21"/>
        </w:rPr>
        <w:t>文件的组成部分。</w:t>
      </w:r>
    </w:p>
    <w:p>
      <w:pPr>
        <w:pStyle w:val="5"/>
        <w:snapToGrid w:val="0"/>
        <w:spacing w:before="0" w:after="0" w:line="360" w:lineRule="auto"/>
        <w:rPr>
          <w:rFonts w:ascii="宋体" w:hAnsi="宋体"/>
          <w:b w:val="0"/>
          <w:snapToGrid w:val="0"/>
          <w:sz w:val="24"/>
          <w:szCs w:val="24"/>
        </w:rPr>
      </w:pPr>
      <w:bookmarkStart w:id="173" w:name="_Toc509218722"/>
      <w:bookmarkStart w:id="174" w:name="_Toc200513138"/>
      <w:bookmarkStart w:id="175" w:name="_Toc224103329"/>
      <w:bookmarkStart w:id="176" w:name="_Toc287620697"/>
      <w:bookmarkStart w:id="177" w:name="_Toc430530447"/>
      <w:bookmarkStart w:id="178" w:name="_Toc277082564"/>
      <w:bookmarkStart w:id="179" w:name="_Toc1359"/>
      <w:bookmarkStart w:id="180" w:name="_Toc287607758"/>
      <w:r>
        <w:rPr>
          <w:rFonts w:ascii="宋体" w:hAnsi="宋体"/>
          <w:b w:val="0"/>
          <w:snapToGrid w:val="0"/>
          <w:sz w:val="24"/>
          <w:szCs w:val="24"/>
        </w:rPr>
        <w:t>1.11  分包</w:t>
      </w:r>
      <w:bookmarkEnd w:id="173"/>
      <w:bookmarkEnd w:id="174"/>
      <w:bookmarkEnd w:id="175"/>
      <w:bookmarkEnd w:id="176"/>
      <w:bookmarkEnd w:id="177"/>
      <w:bookmarkEnd w:id="178"/>
      <w:bookmarkEnd w:id="179"/>
      <w:bookmarkEnd w:id="180"/>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rPr>
      </w:pPr>
      <w:bookmarkStart w:id="181" w:name="_Toc287607759"/>
      <w:bookmarkStart w:id="182" w:name="_Toc277082565"/>
      <w:bookmarkStart w:id="183" w:name="_Toc430530448"/>
      <w:bookmarkStart w:id="184" w:name="_Toc509218723"/>
      <w:bookmarkStart w:id="185" w:name="_Toc287620698"/>
      <w:bookmarkStart w:id="186" w:name="_Toc224103330"/>
      <w:bookmarkStart w:id="187" w:name="_Toc200513139"/>
      <w:bookmarkStart w:id="188" w:name="_Toc32458"/>
      <w:r>
        <w:rPr>
          <w:rFonts w:ascii="宋体" w:hAnsi="宋体"/>
          <w:b w:val="0"/>
          <w:snapToGrid w:val="0"/>
          <w:sz w:val="24"/>
          <w:szCs w:val="24"/>
        </w:rPr>
        <w:t>1.12  偏离</w:t>
      </w:r>
      <w:bookmarkEnd w:id="181"/>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rPr>
        <w:t>采购</w:t>
      </w:r>
      <w:r>
        <w:rPr>
          <w:rFonts w:ascii="宋体" w:hAnsi="宋体"/>
          <w:snapToGrid w:val="0"/>
          <w:kern w:val="0"/>
          <w:szCs w:val="21"/>
        </w:rPr>
        <w:t>文件某些要求的，偏离应当符合</w:t>
      </w:r>
      <w:r>
        <w:rPr>
          <w:rFonts w:hint="eastAsia" w:ascii="宋体" w:hAnsi="宋体"/>
          <w:snapToGrid w:val="0"/>
          <w:kern w:val="0"/>
          <w:szCs w:val="21"/>
        </w:rPr>
        <w:t>采购</w:t>
      </w:r>
      <w:r>
        <w:rPr>
          <w:rFonts w:ascii="宋体" w:hAnsi="宋体"/>
          <w:snapToGrid w:val="0"/>
          <w:kern w:val="0"/>
          <w:szCs w:val="21"/>
        </w:rPr>
        <w:t>文件规定 的偏离范围和幅度。</w:t>
      </w:r>
    </w:p>
    <w:p>
      <w:pPr>
        <w:pStyle w:val="4"/>
        <w:spacing w:before="0" w:after="0" w:line="360" w:lineRule="auto"/>
        <w:rPr>
          <w:rFonts w:ascii="宋体" w:hAnsi="宋体"/>
          <w:b w:val="0"/>
          <w:snapToGrid w:val="0"/>
        </w:rPr>
      </w:pPr>
      <w:bookmarkStart w:id="189" w:name="_Toc287620699"/>
      <w:bookmarkStart w:id="190" w:name="_Toc430530449"/>
      <w:bookmarkStart w:id="191" w:name="_Toc30737"/>
      <w:bookmarkStart w:id="192" w:name="_Toc200513140"/>
      <w:bookmarkStart w:id="193" w:name="_Toc277082566"/>
      <w:bookmarkStart w:id="194" w:name="_Toc287607760"/>
      <w:bookmarkStart w:id="195" w:name="_Toc224103331"/>
      <w:bookmarkStart w:id="196" w:name="_Toc509218724"/>
      <w:r>
        <w:rPr>
          <w:rFonts w:ascii="宋体" w:hAnsi="宋体"/>
          <w:b w:val="0"/>
          <w:snapToGrid w:val="0"/>
        </w:rPr>
        <w:t xml:space="preserve">2.  </w:t>
      </w:r>
      <w:r>
        <w:rPr>
          <w:rFonts w:hint="eastAsia" w:ascii="宋体" w:hAnsi="宋体"/>
          <w:b w:val="0"/>
          <w:snapToGrid w:val="0"/>
        </w:rPr>
        <w:t>采购</w:t>
      </w:r>
      <w:r>
        <w:rPr>
          <w:rFonts w:ascii="宋体" w:hAnsi="宋体"/>
          <w:b w:val="0"/>
          <w:snapToGrid w:val="0"/>
        </w:rPr>
        <w:t>文件</w:t>
      </w:r>
      <w:bookmarkEnd w:id="189"/>
      <w:bookmarkEnd w:id="190"/>
      <w:bookmarkEnd w:id="191"/>
      <w:bookmarkEnd w:id="192"/>
      <w:bookmarkEnd w:id="193"/>
      <w:bookmarkEnd w:id="194"/>
      <w:bookmarkEnd w:id="195"/>
      <w:bookmarkEnd w:id="196"/>
    </w:p>
    <w:p>
      <w:pPr>
        <w:pStyle w:val="5"/>
        <w:snapToGrid w:val="0"/>
        <w:spacing w:before="0" w:after="0" w:line="360" w:lineRule="auto"/>
        <w:rPr>
          <w:rFonts w:ascii="宋体" w:hAnsi="宋体"/>
          <w:b w:val="0"/>
          <w:snapToGrid w:val="0"/>
          <w:sz w:val="24"/>
          <w:szCs w:val="24"/>
        </w:rPr>
      </w:pPr>
      <w:bookmarkStart w:id="197" w:name="_Toc224103332"/>
      <w:bookmarkStart w:id="198" w:name="_Toc32517"/>
      <w:bookmarkStart w:id="199" w:name="_Toc287620700"/>
      <w:bookmarkStart w:id="200" w:name="_Toc277082567"/>
      <w:bookmarkStart w:id="201" w:name="_Toc430530450"/>
      <w:bookmarkStart w:id="202" w:name="_Toc509218725"/>
      <w:bookmarkStart w:id="203" w:name="_Toc200513141"/>
      <w:bookmarkStart w:id="204" w:name="_Toc287607761"/>
      <w:r>
        <w:rPr>
          <w:rFonts w:ascii="宋体" w:hAnsi="宋体"/>
          <w:b w:val="0"/>
          <w:snapToGrid w:val="0"/>
          <w:sz w:val="24"/>
          <w:szCs w:val="24"/>
        </w:rPr>
        <w:t xml:space="preserve">2.1  </w:t>
      </w:r>
      <w:r>
        <w:rPr>
          <w:rFonts w:hint="eastAsia" w:ascii="宋体" w:hAnsi="宋体"/>
          <w:b w:val="0"/>
          <w:snapToGrid w:val="0"/>
          <w:sz w:val="24"/>
          <w:szCs w:val="24"/>
        </w:rPr>
        <w:t>采购</w:t>
      </w:r>
      <w:r>
        <w:rPr>
          <w:rFonts w:ascii="宋体" w:hAnsi="宋体"/>
          <w:b w:val="0"/>
          <w:snapToGrid w:val="0"/>
          <w:sz w:val="24"/>
          <w:szCs w:val="24"/>
        </w:rPr>
        <w:t>文件的组成</w:t>
      </w:r>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采购</w:t>
      </w:r>
      <w:r>
        <w:rPr>
          <w:rFonts w:ascii="宋体" w:hAnsi="宋体"/>
          <w:snapToGrid w:val="0"/>
          <w:kern w:val="0"/>
          <w:szCs w:val="21"/>
        </w:rPr>
        <w:t>公告（或投标邀请书）；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采购</w:t>
      </w:r>
      <w:r>
        <w:rPr>
          <w:rFonts w:ascii="宋体" w:hAnsi="宋体"/>
          <w:snapToGrid w:val="0"/>
          <w:kern w:val="0"/>
          <w:szCs w:val="21"/>
        </w:rPr>
        <w:t>文件所作的澄清、修改，构成</w:t>
      </w:r>
      <w:r>
        <w:rPr>
          <w:rFonts w:hint="eastAsia" w:ascii="宋体" w:hAnsi="宋体"/>
          <w:snapToGrid w:val="0"/>
          <w:kern w:val="0"/>
          <w:szCs w:val="21"/>
        </w:rPr>
        <w:t>采购</w:t>
      </w:r>
      <w:r>
        <w:rPr>
          <w:rFonts w:ascii="宋体" w:hAnsi="宋体"/>
          <w:snapToGrid w:val="0"/>
          <w:kern w:val="0"/>
          <w:szCs w:val="21"/>
        </w:rPr>
        <w:t>文件的组成部分。</w:t>
      </w:r>
    </w:p>
    <w:p>
      <w:pPr>
        <w:pStyle w:val="4"/>
        <w:spacing w:before="0" w:after="0" w:line="360" w:lineRule="auto"/>
        <w:rPr>
          <w:rFonts w:ascii="宋体" w:hAnsi="宋体"/>
          <w:b w:val="0"/>
          <w:snapToGrid w:val="0"/>
        </w:rPr>
      </w:pPr>
      <w:bookmarkStart w:id="205" w:name="_Toc287620703"/>
      <w:bookmarkStart w:id="206" w:name="_Toc224103335"/>
      <w:bookmarkStart w:id="207" w:name="_Toc277082570"/>
      <w:bookmarkStart w:id="208" w:name="_Toc287607764"/>
      <w:bookmarkStart w:id="209" w:name="_Toc430530453"/>
      <w:bookmarkStart w:id="210" w:name="_Toc200513144"/>
      <w:bookmarkStart w:id="211" w:name="_Toc509218728"/>
      <w:bookmarkStart w:id="212" w:name="_Toc13895"/>
      <w:r>
        <w:rPr>
          <w:rFonts w:ascii="宋体" w:hAnsi="宋体"/>
          <w:b w:val="0"/>
          <w:snapToGrid w:val="0"/>
        </w:rPr>
        <w:t>3.  投标文件</w:t>
      </w:r>
      <w:bookmarkEnd w:id="205"/>
      <w:bookmarkEnd w:id="206"/>
      <w:bookmarkEnd w:id="207"/>
      <w:bookmarkEnd w:id="208"/>
      <w:bookmarkEnd w:id="209"/>
      <w:bookmarkEnd w:id="210"/>
      <w:bookmarkEnd w:id="211"/>
      <w:bookmarkEnd w:id="212"/>
    </w:p>
    <w:p>
      <w:pPr>
        <w:pStyle w:val="5"/>
        <w:snapToGrid w:val="0"/>
        <w:spacing w:before="0" w:after="0" w:line="360" w:lineRule="auto"/>
        <w:rPr>
          <w:rFonts w:ascii="宋体" w:hAnsi="宋体"/>
          <w:b w:val="0"/>
          <w:snapToGrid w:val="0"/>
          <w:sz w:val="24"/>
          <w:szCs w:val="24"/>
        </w:rPr>
      </w:pPr>
      <w:bookmarkStart w:id="213" w:name="_Toc224103336"/>
      <w:bookmarkStart w:id="214" w:name="_Toc200513145"/>
      <w:bookmarkStart w:id="215" w:name="_Toc430530454"/>
      <w:bookmarkStart w:id="216" w:name="_Toc509218729"/>
      <w:bookmarkStart w:id="217" w:name="_Toc287620704"/>
      <w:bookmarkStart w:id="218" w:name="_Toc25335"/>
      <w:bookmarkStart w:id="219" w:name="_Toc277082571"/>
      <w:bookmarkStart w:id="220" w:name="_Toc287607765"/>
      <w:r>
        <w:rPr>
          <w:rFonts w:ascii="宋体" w:hAnsi="宋体"/>
          <w:b w:val="0"/>
          <w:snapToGrid w:val="0"/>
          <w:sz w:val="24"/>
          <w:szCs w:val="24"/>
        </w:rPr>
        <w:t>3.1  投标文件的组成</w:t>
      </w:r>
      <w:bookmarkEnd w:id="213"/>
      <w:bookmarkEnd w:id="214"/>
      <w:bookmarkEnd w:id="215"/>
      <w:bookmarkEnd w:id="216"/>
      <w:bookmarkEnd w:id="217"/>
      <w:bookmarkEnd w:id="218"/>
      <w:bookmarkEnd w:id="219"/>
      <w:bookmarkEnd w:id="22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spacing w:line="360" w:lineRule="auto"/>
        <w:ind w:firstLine="420" w:firstLineChars="200"/>
        <w:rPr>
          <w:rFonts w:ascii="宋体" w:hAnsi="宋体"/>
        </w:rPr>
      </w:pPr>
      <w:r>
        <w:rPr>
          <w:rFonts w:hint="eastAsia" w:ascii="宋体" w:hAnsi="宋体"/>
        </w:rPr>
        <w:t>3.1.1.1投标函部分</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（2）投标函附录</w:t>
      </w:r>
    </w:p>
    <w:p>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（4）低价风险担保缴纳承诺书（如有）</w:t>
      </w:r>
    </w:p>
    <w:p>
      <w:pPr>
        <w:spacing w:line="360" w:lineRule="auto"/>
        <w:ind w:firstLine="420" w:firstLineChars="200"/>
        <w:rPr>
          <w:rFonts w:ascii="宋体" w:hAnsi="宋体"/>
        </w:rPr>
      </w:pPr>
      <w:r>
        <w:rPr>
          <w:rFonts w:hint="eastAsia" w:ascii="宋体" w:hAnsi="宋体"/>
        </w:rPr>
        <w:t>（5）联合体协议书（如有）</w:t>
      </w:r>
    </w:p>
    <w:p>
      <w:pPr>
        <w:spacing w:line="360" w:lineRule="auto"/>
        <w:ind w:firstLine="420" w:firstLineChars="200"/>
        <w:rPr>
          <w:rFonts w:ascii="宋体" w:hAnsi="宋体"/>
        </w:rPr>
      </w:pPr>
      <w:r>
        <w:rPr>
          <w:rFonts w:hint="eastAsia" w:ascii="宋体" w:hAnsi="宋体"/>
        </w:rPr>
        <w:t>3.1.1.2经济部分</w:t>
      </w:r>
    </w:p>
    <w:p>
      <w:pPr>
        <w:spacing w:line="360" w:lineRule="auto"/>
        <w:ind w:firstLine="420" w:firstLineChars="200"/>
        <w:rPr>
          <w:rFonts w:ascii="宋体" w:hAnsi="宋体"/>
        </w:rPr>
      </w:pPr>
      <w:r>
        <w:rPr>
          <w:rFonts w:hint="eastAsia" w:ascii="宋体" w:hAnsi="宋体"/>
        </w:rPr>
        <w:t>（1）已标价工程量清单</w:t>
      </w:r>
    </w:p>
    <w:p>
      <w:pPr>
        <w:spacing w:line="360" w:lineRule="auto"/>
        <w:ind w:firstLine="420" w:firstLineChars="200"/>
        <w:rPr>
          <w:rFonts w:ascii="宋体" w:hAnsi="宋体"/>
        </w:rPr>
      </w:pPr>
      <w:r>
        <w:rPr>
          <w:rFonts w:hint="eastAsia" w:ascii="宋体" w:hAnsi="宋体"/>
        </w:rPr>
        <w:t>3.1.1.3技术部分（不设置技术方案评审的不设此部分）</w:t>
      </w:r>
    </w:p>
    <w:p>
      <w:pPr>
        <w:spacing w:line="360" w:lineRule="auto"/>
        <w:ind w:firstLine="420" w:firstLineChars="200"/>
        <w:rPr>
          <w:rFonts w:ascii="宋体" w:hAnsi="宋体"/>
        </w:rPr>
      </w:pPr>
      <w:r>
        <w:rPr>
          <w:rFonts w:hint="eastAsia" w:ascii="宋体" w:hAnsi="宋体"/>
        </w:rPr>
        <w:t>3.1.1.4资格审查部分</w:t>
      </w:r>
    </w:p>
    <w:p>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pPr>
        <w:spacing w:line="360" w:lineRule="auto"/>
        <w:ind w:firstLine="420" w:firstLineChars="200"/>
        <w:rPr>
          <w:rFonts w:ascii="宋体" w:hAnsi="宋体"/>
        </w:rPr>
      </w:pPr>
      <w:r>
        <w:rPr>
          <w:rFonts w:hint="eastAsia" w:ascii="宋体" w:hAnsi="宋体"/>
        </w:rPr>
        <w:t>（2）联合体协议书（如有）</w:t>
      </w:r>
    </w:p>
    <w:p>
      <w:pPr>
        <w:spacing w:line="360" w:lineRule="auto"/>
        <w:ind w:firstLine="420" w:firstLineChars="200"/>
        <w:rPr>
          <w:rFonts w:ascii="宋体" w:hAnsi="宋体"/>
        </w:rPr>
      </w:pPr>
      <w:r>
        <w:rPr>
          <w:rFonts w:hint="eastAsia" w:ascii="宋体" w:hAnsi="宋体"/>
        </w:rPr>
        <w:t>（3）投标人基本情况表</w:t>
      </w:r>
    </w:p>
    <w:p>
      <w:pPr>
        <w:spacing w:line="360" w:lineRule="auto"/>
        <w:ind w:firstLine="420" w:firstLineChars="200"/>
        <w:rPr>
          <w:rFonts w:ascii="宋体" w:hAnsi="宋体"/>
        </w:rPr>
      </w:pPr>
      <w:r>
        <w:rPr>
          <w:rFonts w:hint="eastAsia" w:ascii="宋体" w:hAnsi="宋体"/>
        </w:rPr>
        <w:t>（4）项目管理机构</w:t>
      </w:r>
    </w:p>
    <w:p>
      <w:pPr>
        <w:spacing w:line="360" w:lineRule="auto"/>
        <w:ind w:firstLine="420" w:firstLineChars="200"/>
        <w:rPr>
          <w:rFonts w:ascii="宋体" w:hAnsi="宋体"/>
        </w:rPr>
      </w:pPr>
      <w:r>
        <w:rPr>
          <w:rFonts w:hint="eastAsia" w:ascii="宋体" w:hAnsi="宋体"/>
        </w:rPr>
        <w:t>（5）近年财务状况表</w:t>
      </w:r>
    </w:p>
    <w:p>
      <w:pPr>
        <w:spacing w:line="360" w:lineRule="auto"/>
        <w:ind w:firstLine="420" w:firstLineChars="200"/>
        <w:rPr>
          <w:rFonts w:ascii="宋体" w:hAnsi="宋体"/>
        </w:rPr>
      </w:pPr>
      <w:r>
        <w:rPr>
          <w:rFonts w:hint="eastAsia" w:ascii="宋体" w:hAnsi="宋体"/>
        </w:rPr>
        <w:t>（6）类似项目情况表</w:t>
      </w:r>
    </w:p>
    <w:p>
      <w:pPr>
        <w:spacing w:line="360" w:lineRule="auto"/>
        <w:ind w:firstLine="420" w:firstLineChars="200"/>
        <w:rPr>
          <w:rFonts w:ascii="宋体" w:hAnsi="宋体"/>
        </w:rPr>
      </w:pPr>
      <w:r>
        <w:rPr>
          <w:rFonts w:hint="eastAsia" w:ascii="宋体" w:hAnsi="宋体"/>
        </w:rPr>
        <w:t>（7）承诺</w:t>
      </w:r>
    </w:p>
    <w:p>
      <w:pPr>
        <w:spacing w:line="360" w:lineRule="auto"/>
        <w:ind w:firstLine="420" w:firstLineChars="200"/>
        <w:rPr>
          <w:rFonts w:ascii="宋体" w:hAnsi="宋体"/>
        </w:rPr>
      </w:pPr>
      <w:r>
        <w:rPr>
          <w:rFonts w:hint="eastAsia" w:ascii="宋体" w:hAnsi="宋体"/>
        </w:rPr>
        <w:t>（8）其他资料</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rPr>
      </w:pPr>
      <w:bookmarkStart w:id="221" w:name="_Toc509218730"/>
      <w:bookmarkStart w:id="222" w:name="_Toc430530455"/>
      <w:bookmarkStart w:id="223" w:name="_Toc277082572"/>
      <w:bookmarkStart w:id="224" w:name="_Toc200513146"/>
      <w:bookmarkStart w:id="225" w:name="_Toc224103337"/>
      <w:bookmarkStart w:id="226" w:name="_Toc6572"/>
      <w:bookmarkStart w:id="227" w:name="_Toc287607766"/>
      <w:bookmarkStart w:id="228" w:name="_Toc287620705"/>
      <w:r>
        <w:rPr>
          <w:rFonts w:ascii="宋体" w:hAnsi="宋体"/>
          <w:b w:val="0"/>
          <w:snapToGrid w:val="0"/>
          <w:sz w:val="24"/>
          <w:szCs w:val="24"/>
        </w:rPr>
        <w:t>3.2  投标报价</w:t>
      </w:r>
      <w:bookmarkEnd w:id="221"/>
      <w:bookmarkEnd w:id="222"/>
      <w:bookmarkEnd w:id="223"/>
      <w:bookmarkEnd w:id="224"/>
      <w:bookmarkEnd w:id="225"/>
      <w:bookmarkEnd w:id="226"/>
      <w:bookmarkEnd w:id="227"/>
      <w:bookmarkEnd w:id="22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sz w:val="24"/>
          <w:szCs w:val="24"/>
        </w:rPr>
      </w:pPr>
      <w:bookmarkStart w:id="229" w:name="_Toc509218731"/>
      <w:bookmarkStart w:id="230" w:name="_Toc5556"/>
      <w:bookmarkStart w:id="231" w:name="_Toc200513147"/>
      <w:bookmarkStart w:id="232" w:name="_Toc430530456"/>
      <w:bookmarkStart w:id="233" w:name="_Toc277082573"/>
      <w:bookmarkStart w:id="234" w:name="_Toc287607767"/>
      <w:bookmarkStart w:id="235" w:name="_Toc224103338"/>
      <w:bookmarkStart w:id="236" w:name="_Toc287620706"/>
      <w:r>
        <w:rPr>
          <w:rFonts w:ascii="宋体" w:hAnsi="宋体"/>
          <w:b w:val="0"/>
          <w:snapToGrid w:val="0"/>
          <w:sz w:val="24"/>
          <w:szCs w:val="24"/>
        </w:rPr>
        <w:t>3.3  投标有效期</w:t>
      </w:r>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w:t>
      </w:r>
      <w:r>
        <w:rPr>
          <w:rFonts w:hint="eastAsia" w:ascii="宋体" w:hAnsi="宋体"/>
          <w:snapToGrid w:val="0"/>
          <w:kern w:val="0"/>
          <w:szCs w:val="21"/>
        </w:rPr>
        <w:t>采购</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b w:val="0"/>
          <w:snapToGrid w:val="0"/>
          <w:sz w:val="24"/>
          <w:szCs w:val="24"/>
        </w:rPr>
      </w:pPr>
      <w:bookmarkStart w:id="237" w:name="_Toc224103341"/>
      <w:bookmarkStart w:id="238" w:name="_Toc277082576"/>
      <w:bookmarkStart w:id="239" w:name="_Toc18052"/>
      <w:bookmarkStart w:id="240" w:name="_Toc287607770"/>
      <w:bookmarkStart w:id="241" w:name="_Toc287620709"/>
      <w:bookmarkStart w:id="242" w:name="_Toc430530459"/>
      <w:bookmarkStart w:id="243" w:name="_Toc509218734"/>
      <w:bookmarkStart w:id="244" w:name="_Toc200513150"/>
      <w:r>
        <w:rPr>
          <w:rFonts w:ascii="宋体" w:hAnsi="宋体"/>
          <w:b w:val="0"/>
          <w:snapToGrid w:val="0"/>
          <w:sz w:val="24"/>
          <w:szCs w:val="24"/>
        </w:rPr>
        <w:t>3.4  资格审查资料</w:t>
      </w:r>
      <w:bookmarkEnd w:id="237"/>
      <w:bookmarkEnd w:id="238"/>
      <w:bookmarkEnd w:id="239"/>
      <w:bookmarkEnd w:id="240"/>
      <w:bookmarkEnd w:id="241"/>
      <w:bookmarkEnd w:id="242"/>
      <w:bookmarkEnd w:id="243"/>
      <w:bookmarkEnd w:id="244"/>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rPr>
      </w:pPr>
      <w:bookmarkStart w:id="245" w:name="_Toc430530461"/>
      <w:bookmarkStart w:id="246" w:name="_Toc287620711"/>
      <w:bookmarkStart w:id="247" w:name="_Toc287607772"/>
      <w:bookmarkStart w:id="248" w:name="_Toc224103343"/>
      <w:bookmarkStart w:id="249" w:name="_Toc26108"/>
      <w:bookmarkStart w:id="250" w:name="_Toc277082578"/>
      <w:bookmarkStart w:id="251" w:name="_Toc509218736"/>
      <w:bookmarkStart w:id="252" w:name="_Toc200513152"/>
      <w:r>
        <w:rPr>
          <w:rFonts w:ascii="宋体" w:hAnsi="宋体"/>
          <w:b w:val="0"/>
          <w:snapToGrid w:val="0"/>
          <w:sz w:val="24"/>
          <w:szCs w:val="24"/>
        </w:rPr>
        <w:t>3.5  投标文件的编制</w:t>
      </w:r>
      <w:bookmarkEnd w:id="245"/>
      <w:bookmarkEnd w:id="246"/>
      <w:bookmarkEnd w:id="247"/>
      <w:bookmarkEnd w:id="248"/>
      <w:bookmarkEnd w:id="249"/>
      <w:bookmarkEnd w:id="250"/>
      <w:bookmarkEnd w:id="251"/>
      <w:bookmarkEnd w:id="25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hint="eastAsia" w:ascii="宋体" w:hAnsi="宋体"/>
          <w:snapToGrid w:val="0"/>
          <w:kern w:val="0"/>
          <w:szCs w:val="21"/>
        </w:rPr>
        <w:t>采购</w:t>
      </w:r>
      <w:r>
        <w:rPr>
          <w:rFonts w:ascii="宋体" w:hAnsi="宋体"/>
          <w:snapToGrid w:val="0"/>
          <w:kern w:val="0"/>
          <w:szCs w:val="21"/>
        </w:rPr>
        <w:t>文件实质性要求的基础上，可以提出比</w:t>
      </w:r>
      <w:r>
        <w:rPr>
          <w:rFonts w:hint="eastAsia" w:ascii="宋体" w:hAnsi="宋体"/>
          <w:snapToGrid w:val="0"/>
          <w:kern w:val="0"/>
          <w:szCs w:val="21"/>
        </w:rPr>
        <w:t>采购</w:t>
      </w:r>
      <w:r>
        <w:rPr>
          <w:rFonts w:ascii="宋体" w:hAnsi="宋体"/>
          <w:snapToGrid w:val="0"/>
          <w:kern w:val="0"/>
          <w:szCs w:val="21"/>
        </w:rPr>
        <w:t>文件要求更有利于</w:t>
      </w:r>
      <w:r>
        <w:rPr>
          <w:rFonts w:hint="eastAsia" w:ascii="宋体" w:hAnsi="宋体"/>
          <w:snapToGrid w:val="0"/>
          <w:kern w:val="0"/>
          <w:szCs w:val="21"/>
        </w:rPr>
        <w:t>采购</w:t>
      </w:r>
      <w:r>
        <w:rPr>
          <w:rFonts w:ascii="宋体" w:hAnsi="宋体"/>
          <w:snapToGrid w:val="0"/>
          <w:kern w:val="0"/>
          <w:szCs w:val="21"/>
        </w:rPr>
        <w:t>人的承诺。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3.5.2  投标文件应当对</w:t>
      </w:r>
      <w:r>
        <w:rPr>
          <w:rFonts w:hint="eastAsia" w:ascii="宋体" w:hAnsi="宋体"/>
          <w:snapToGrid w:val="0"/>
          <w:kern w:val="0"/>
          <w:szCs w:val="21"/>
        </w:rPr>
        <w:t>采购</w:t>
      </w:r>
      <w:r>
        <w:rPr>
          <w:rFonts w:ascii="宋体" w:hAnsi="宋体"/>
          <w:snapToGrid w:val="0"/>
          <w:kern w:val="0"/>
          <w:szCs w:val="21"/>
        </w:rPr>
        <w:t>文件有关工期、投标有效期、质量要求、技术标准和要求、</w:t>
      </w:r>
      <w:r>
        <w:rPr>
          <w:rFonts w:hint="eastAsia" w:ascii="宋体" w:hAnsi="宋体"/>
          <w:snapToGrid w:val="0"/>
          <w:kern w:val="0"/>
          <w:szCs w:val="21"/>
        </w:rPr>
        <w:t>采购</w:t>
      </w:r>
      <w:r>
        <w:rPr>
          <w:rFonts w:ascii="宋体" w:hAnsi="宋体"/>
          <w:snapToGrid w:val="0"/>
          <w:kern w:val="0"/>
          <w:szCs w:val="21"/>
        </w:rPr>
        <w:t>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3.5.3  </w:t>
      </w:r>
      <w:r>
        <w:rPr>
          <w:rFonts w:hint="eastAsia" w:ascii="宋体" w:hAnsi="宋体"/>
          <w:snapToGrid w:val="0"/>
          <w:kern w:val="0"/>
          <w:position w:val="-2"/>
          <w:szCs w:val="21"/>
        </w:rPr>
        <w:t>投标文件的签字盖章要求：按本章投标人须知前附表第3.7.3项执行。</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3.5.4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pPr>
        <w:pStyle w:val="4"/>
        <w:keepNext w:val="0"/>
        <w:keepLines w:val="0"/>
        <w:spacing w:before="0" w:after="0" w:line="360" w:lineRule="auto"/>
        <w:rPr>
          <w:rFonts w:ascii="宋体" w:hAnsi="宋体"/>
          <w:b w:val="0"/>
          <w:snapToGrid w:val="0"/>
        </w:rPr>
      </w:pPr>
      <w:bookmarkStart w:id="253" w:name="_Toc456"/>
      <w:bookmarkStart w:id="254" w:name="_Toc287620712"/>
      <w:bookmarkStart w:id="255" w:name="_Toc200513153"/>
      <w:bookmarkStart w:id="256" w:name="_Toc509218737"/>
      <w:bookmarkStart w:id="257" w:name="_Toc287607773"/>
      <w:bookmarkStart w:id="258" w:name="_Toc224103344"/>
      <w:bookmarkStart w:id="259" w:name="_Toc277082579"/>
      <w:bookmarkStart w:id="260" w:name="_Toc430530462"/>
      <w:r>
        <w:rPr>
          <w:rFonts w:ascii="宋体" w:hAnsi="宋体"/>
          <w:b w:val="0"/>
          <w:snapToGrid w:val="0"/>
        </w:rPr>
        <w:t>4.  投标</w:t>
      </w:r>
      <w:bookmarkEnd w:id="253"/>
      <w:bookmarkEnd w:id="254"/>
      <w:bookmarkEnd w:id="255"/>
      <w:bookmarkEnd w:id="256"/>
      <w:bookmarkEnd w:id="257"/>
      <w:bookmarkEnd w:id="258"/>
      <w:bookmarkEnd w:id="259"/>
      <w:bookmarkEnd w:id="260"/>
    </w:p>
    <w:p>
      <w:pPr>
        <w:pStyle w:val="5"/>
        <w:keepNext w:val="0"/>
        <w:keepLines w:val="0"/>
        <w:snapToGrid w:val="0"/>
        <w:spacing w:before="0" w:after="0" w:line="360" w:lineRule="auto"/>
        <w:rPr>
          <w:rFonts w:ascii="宋体" w:hAnsi="宋体"/>
          <w:b w:val="0"/>
          <w:snapToGrid w:val="0"/>
          <w:sz w:val="24"/>
          <w:szCs w:val="24"/>
        </w:rPr>
      </w:pPr>
      <w:bookmarkStart w:id="261" w:name="_Toc430530463"/>
      <w:bookmarkStart w:id="262" w:name="_Toc287620713"/>
      <w:bookmarkStart w:id="263" w:name="_Toc287607774"/>
      <w:bookmarkStart w:id="264" w:name="_Toc277082580"/>
      <w:bookmarkStart w:id="265" w:name="_Toc30188"/>
      <w:bookmarkStart w:id="266" w:name="_Toc224103345"/>
      <w:bookmarkStart w:id="267" w:name="_Toc509218738"/>
      <w:bookmarkStart w:id="268" w:name="_Toc200513154"/>
      <w:r>
        <w:rPr>
          <w:rFonts w:ascii="宋体" w:hAnsi="宋体"/>
          <w:b w:val="0"/>
          <w:snapToGrid w:val="0"/>
          <w:sz w:val="24"/>
          <w:szCs w:val="24"/>
        </w:rPr>
        <w:t>4.1  投标文件的密封和标记</w:t>
      </w:r>
      <w:bookmarkEnd w:id="261"/>
      <w:bookmarkEnd w:id="262"/>
      <w:bookmarkEnd w:id="263"/>
      <w:bookmarkEnd w:id="264"/>
      <w:bookmarkEnd w:id="265"/>
      <w:bookmarkEnd w:id="266"/>
      <w:bookmarkEnd w:id="267"/>
      <w:bookmarkEnd w:id="268"/>
    </w:p>
    <w:p>
      <w:pPr>
        <w:autoSpaceDE w:val="0"/>
        <w:autoSpaceDN w:val="0"/>
        <w:adjustRightInd w:val="0"/>
        <w:snapToGrid w:val="0"/>
        <w:spacing w:line="360" w:lineRule="auto"/>
        <w:ind w:firstLine="420" w:firstLineChars="200"/>
        <w:rPr>
          <w:rFonts w:ascii="宋体" w:hAnsi="宋体"/>
          <w:snapToGrid w:val="0"/>
          <w:kern w:val="0"/>
          <w:szCs w:val="21"/>
        </w:rPr>
      </w:pPr>
      <w:bookmarkStart w:id="269"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pStyle w:val="5"/>
        <w:keepNext w:val="0"/>
        <w:keepLines w:val="0"/>
        <w:snapToGrid w:val="0"/>
        <w:spacing w:before="0" w:after="0" w:line="360" w:lineRule="auto"/>
        <w:rPr>
          <w:rFonts w:ascii="宋体" w:hAnsi="宋体"/>
          <w:b w:val="0"/>
          <w:snapToGrid w:val="0"/>
          <w:sz w:val="24"/>
          <w:szCs w:val="24"/>
        </w:rPr>
      </w:pPr>
      <w:bookmarkStart w:id="270" w:name="_Toc287607775"/>
      <w:bookmarkStart w:id="271" w:name="_Toc509218739"/>
      <w:bookmarkStart w:id="272" w:name="_Toc3927"/>
      <w:bookmarkStart w:id="273" w:name="_Toc224103346"/>
      <w:bookmarkStart w:id="274" w:name="_Toc287620714"/>
      <w:bookmarkStart w:id="275" w:name="_Toc277082581"/>
      <w:bookmarkStart w:id="276" w:name="_Toc430530464"/>
      <w:r>
        <w:rPr>
          <w:rFonts w:ascii="宋体" w:hAnsi="宋体"/>
          <w:b w:val="0"/>
          <w:snapToGrid w:val="0"/>
          <w:sz w:val="24"/>
          <w:szCs w:val="24"/>
        </w:rPr>
        <w:t>4.2  投标文件的递交</w:t>
      </w:r>
      <w:bookmarkEnd w:id="269"/>
      <w:bookmarkEnd w:id="270"/>
      <w:bookmarkEnd w:id="271"/>
      <w:bookmarkEnd w:id="272"/>
      <w:bookmarkEnd w:id="273"/>
      <w:bookmarkEnd w:id="274"/>
      <w:bookmarkEnd w:id="275"/>
      <w:bookmarkEnd w:id="276"/>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逾期送达的或者未送达指定地点的投标文件，</w:t>
      </w:r>
      <w:r>
        <w:rPr>
          <w:rFonts w:hint="eastAsia" w:ascii="宋体" w:hAnsi="宋体"/>
          <w:snapToGrid w:val="0"/>
          <w:kern w:val="0"/>
          <w:szCs w:val="21"/>
        </w:rPr>
        <w:t>采购</w:t>
      </w:r>
      <w:r>
        <w:rPr>
          <w:rFonts w:ascii="宋体" w:hAnsi="宋体"/>
          <w:snapToGrid w:val="0"/>
          <w:kern w:val="0"/>
          <w:szCs w:val="21"/>
        </w:rPr>
        <w:t>人不予受理。</w:t>
      </w:r>
    </w:p>
    <w:p>
      <w:pPr>
        <w:pStyle w:val="4"/>
        <w:keepNext w:val="0"/>
        <w:keepLines w:val="0"/>
        <w:spacing w:before="0" w:after="0" w:line="360" w:lineRule="auto"/>
        <w:rPr>
          <w:rFonts w:ascii="宋体" w:hAnsi="宋体"/>
          <w:b w:val="0"/>
          <w:snapToGrid w:val="0"/>
        </w:rPr>
      </w:pPr>
      <w:bookmarkStart w:id="277" w:name="_Toc287607777"/>
      <w:bookmarkStart w:id="278" w:name="_Toc277082583"/>
      <w:bookmarkStart w:id="279" w:name="_Toc224103348"/>
      <w:bookmarkStart w:id="280" w:name="_Toc430530466"/>
      <w:bookmarkStart w:id="281" w:name="_Toc31220"/>
      <w:bookmarkStart w:id="282" w:name="_Toc287620716"/>
      <w:bookmarkStart w:id="283" w:name="_Toc200513157"/>
      <w:bookmarkStart w:id="284" w:name="_Toc509218741"/>
      <w:r>
        <w:rPr>
          <w:rFonts w:ascii="宋体" w:hAnsi="宋体"/>
          <w:b w:val="0"/>
          <w:snapToGrid w:val="0"/>
        </w:rPr>
        <w:t>5.  开标</w:t>
      </w:r>
      <w:bookmarkEnd w:id="277"/>
      <w:bookmarkEnd w:id="278"/>
      <w:bookmarkEnd w:id="279"/>
      <w:bookmarkEnd w:id="280"/>
      <w:bookmarkEnd w:id="281"/>
      <w:bookmarkEnd w:id="282"/>
      <w:bookmarkEnd w:id="283"/>
      <w:bookmarkEnd w:id="284"/>
    </w:p>
    <w:p>
      <w:pPr>
        <w:pStyle w:val="5"/>
        <w:keepNext w:val="0"/>
        <w:keepLines w:val="0"/>
        <w:snapToGrid w:val="0"/>
        <w:spacing w:before="0" w:after="0" w:line="360" w:lineRule="auto"/>
        <w:rPr>
          <w:rFonts w:ascii="宋体" w:hAnsi="宋体"/>
          <w:b w:val="0"/>
          <w:snapToGrid w:val="0"/>
          <w:sz w:val="24"/>
          <w:szCs w:val="24"/>
        </w:rPr>
      </w:pPr>
      <w:bookmarkStart w:id="285" w:name="_Toc224103349"/>
      <w:bookmarkStart w:id="286" w:name="_Toc277082584"/>
      <w:bookmarkStart w:id="287" w:name="_Toc200513158"/>
      <w:bookmarkStart w:id="288" w:name="_Toc287620717"/>
      <w:bookmarkStart w:id="289" w:name="_Toc287607778"/>
      <w:bookmarkStart w:id="290" w:name="_Toc9150"/>
      <w:bookmarkStart w:id="291" w:name="_Toc430530467"/>
      <w:bookmarkStart w:id="292" w:name="_Toc509218742"/>
      <w:r>
        <w:rPr>
          <w:rFonts w:ascii="宋体" w:hAnsi="宋体"/>
          <w:b w:val="0"/>
          <w:snapToGrid w:val="0"/>
          <w:sz w:val="24"/>
          <w:szCs w:val="24"/>
        </w:rPr>
        <w:t>5.1  开标时间和地点</w:t>
      </w:r>
      <w:bookmarkEnd w:id="285"/>
      <w:bookmarkEnd w:id="286"/>
      <w:bookmarkEnd w:id="287"/>
      <w:bookmarkEnd w:id="288"/>
      <w:bookmarkEnd w:id="289"/>
      <w:bookmarkEnd w:id="290"/>
      <w:bookmarkEnd w:id="291"/>
      <w:bookmarkEnd w:id="292"/>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5.1.1  采购</w:t>
      </w:r>
      <w:r>
        <w:rPr>
          <w:rFonts w:ascii="宋体" w:hAnsi="宋体"/>
          <w:snapToGrid w:val="0"/>
          <w:kern w:val="0"/>
          <w:szCs w:val="21"/>
        </w:rPr>
        <w:t>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sz w:val="24"/>
          <w:szCs w:val="24"/>
        </w:rPr>
      </w:pPr>
      <w:bookmarkStart w:id="293" w:name="_Toc430530468"/>
      <w:bookmarkStart w:id="294" w:name="_Toc287607779"/>
      <w:bookmarkStart w:id="295" w:name="_Toc277082585"/>
      <w:bookmarkStart w:id="296" w:name="_Toc287620718"/>
      <w:bookmarkStart w:id="297" w:name="_Toc200513159"/>
      <w:bookmarkStart w:id="298" w:name="_Toc224103350"/>
      <w:bookmarkStart w:id="299" w:name="_Toc509218743"/>
      <w:bookmarkStart w:id="300" w:name="_Toc11554"/>
      <w:r>
        <w:rPr>
          <w:rFonts w:ascii="宋体" w:hAnsi="宋体"/>
          <w:b w:val="0"/>
          <w:snapToGrid w:val="0"/>
          <w:sz w:val="24"/>
          <w:szCs w:val="24"/>
        </w:rPr>
        <w:t>5.2  开标程序</w:t>
      </w:r>
      <w:bookmarkEnd w:id="293"/>
      <w:bookmarkEnd w:id="294"/>
      <w:bookmarkEnd w:id="295"/>
      <w:bookmarkEnd w:id="296"/>
      <w:bookmarkEnd w:id="297"/>
      <w:bookmarkEnd w:id="298"/>
      <w:bookmarkEnd w:id="299"/>
      <w:bookmarkEnd w:id="300"/>
    </w:p>
    <w:p>
      <w:pPr>
        <w:autoSpaceDE w:val="0"/>
        <w:autoSpaceDN w:val="0"/>
        <w:adjustRightInd w:val="0"/>
        <w:snapToGrid w:val="0"/>
        <w:spacing w:line="360" w:lineRule="auto"/>
        <w:ind w:firstLine="420" w:firstLineChars="200"/>
        <w:rPr>
          <w:rFonts w:ascii="宋体" w:hAnsi="宋体"/>
          <w:szCs w:val="21"/>
        </w:rPr>
      </w:pPr>
      <w:bookmarkStart w:id="301" w:name="_Toc224103351"/>
      <w:bookmarkStart w:id="302" w:name="_Toc287607780"/>
      <w:bookmarkStart w:id="303" w:name="_Toc277082586"/>
      <w:bookmarkStart w:id="304" w:name="_Toc200513160"/>
      <w:bookmarkStart w:id="305" w:name="_Toc287620719"/>
      <w:r>
        <w:rPr>
          <w:rFonts w:ascii="宋体" w:hAnsi="宋体"/>
          <w:szCs w:val="21"/>
        </w:rPr>
        <w:t>详见投标人须知前附表第5.2款开标程序。</w:t>
      </w:r>
    </w:p>
    <w:p>
      <w:pPr>
        <w:pStyle w:val="5"/>
        <w:keepNext w:val="0"/>
        <w:keepLines w:val="0"/>
        <w:snapToGrid w:val="0"/>
        <w:spacing w:before="0" w:after="0" w:line="360" w:lineRule="auto"/>
        <w:rPr>
          <w:rFonts w:ascii="宋体" w:hAnsi="宋体"/>
          <w:b w:val="0"/>
          <w:snapToGrid w:val="0"/>
          <w:sz w:val="24"/>
          <w:szCs w:val="24"/>
        </w:rPr>
      </w:pPr>
      <w:bookmarkStart w:id="306" w:name="_Toc11875"/>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06"/>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r>
        <w:rPr>
          <w:rFonts w:ascii="宋体" w:hAnsi="宋体"/>
          <w:szCs w:val="21"/>
        </w:rPr>
        <w:t>。</w:t>
      </w:r>
    </w:p>
    <w:p>
      <w:pPr>
        <w:pStyle w:val="4"/>
        <w:keepNext w:val="0"/>
        <w:keepLines w:val="0"/>
        <w:spacing w:before="0" w:after="0" w:line="360" w:lineRule="auto"/>
        <w:rPr>
          <w:rFonts w:ascii="宋体" w:hAnsi="宋体"/>
          <w:b w:val="0"/>
          <w:snapToGrid w:val="0"/>
        </w:rPr>
      </w:pPr>
      <w:bookmarkStart w:id="307" w:name="_Toc430530469"/>
      <w:bookmarkStart w:id="308" w:name="_Toc509218744"/>
      <w:bookmarkStart w:id="309" w:name="_Toc32069"/>
      <w:r>
        <w:rPr>
          <w:rFonts w:ascii="宋体" w:hAnsi="宋体"/>
          <w:b w:val="0"/>
          <w:snapToGrid w:val="0"/>
        </w:rPr>
        <w:t>6.  评标</w:t>
      </w:r>
      <w:bookmarkEnd w:id="301"/>
      <w:bookmarkEnd w:id="302"/>
      <w:bookmarkEnd w:id="303"/>
      <w:bookmarkEnd w:id="304"/>
      <w:bookmarkEnd w:id="305"/>
      <w:bookmarkEnd w:id="307"/>
      <w:bookmarkEnd w:id="308"/>
      <w:bookmarkEnd w:id="309"/>
    </w:p>
    <w:p>
      <w:pPr>
        <w:pStyle w:val="5"/>
        <w:keepNext w:val="0"/>
        <w:keepLines w:val="0"/>
        <w:snapToGrid w:val="0"/>
        <w:spacing w:before="0" w:after="0" w:line="360" w:lineRule="auto"/>
        <w:rPr>
          <w:rFonts w:ascii="宋体" w:hAnsi="宋体"/>
          <w:b w:val="0"/>
          <w:snapToGrid w:val="0"/>
          <w:sz w:val="24"/>
          <w:szCs w:val="24"/>
        </w:rPr>
      </w:pPr>
      <w:bookmarkStart w:id="310" w:name="_Toc200513161"/>
      <w:bookmarkStart w:id="311" w:name="_Toc287620720"/>
      <w:bookmarkStart w:id="312" w:name="_Toc22494"/>
      <w:bookmarkStart w:id="313" w:name="_Toc224103352"/>
      <w:bookmarkStart w:id="314" w:name="_Toc277082587"/>
      <w:bookmarkStart w:id="315" w:name="_Toc287607781"/>
      <w:bookmarkStart w:id="316" w:name="_Toc509218745"/>
      <w:bookmarkStart w:id="317" w:name="_Toc430530470"/>
      <w:r>
        <w:rPr>
          <w:rFonts w:ascii="宋体" w:hAnsi="宋体"/>
          <w:b w:val="0"/>
          <w:snapToGrid w:val="0"/>
          <w:sz w:val="24"/>
          <w:szCs w:val="24"/>
        </w:rPr>
        <w:t>6.1  评标委员会</w:t>
      </w:r>
      <w:bookmarkEnd w:id="310"/>
      <w:bookmarkEnd w:id="311"/>
      <w:bookmarkEnd w:id="312"/>
      <w:bookmarkEnd w:id="313"/>
      <w:bookmarkEnd w:id="314"/>
      <w:bookmarkEnd w:id="315"/>
      <w:bookmarkEnd w:id="316"/>
      <w:bookmarkEnd w:id="317"/>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采购</w:t>
      </w:r>
      <w:r>
        <w:rPr>
          <w:rFonts w:ascii="宋体" w:hAnsi="宋体"/>
          <w:snapToGrid w:val="0"/>
          <w:kern w:val="0"/>
          <w:szCs w:val="21"/>
        </w:rPr>
        <w:t>人由</w:t>
      </w:r>
      <w:r>
        <w:rPr>
          <w:rFonts w:hint="eastAsia" w:ascii="宋体" w:hAnsi="宋体"/>
          <w:snapToGrid w:val="0"/>
          <w:kern w:val="0"/>
          <w:szCs w:val="21"/>
        </w:rPr>
        <w:t>采购</w:t>
      </w:r>
      <w:r>
        <w:rPr>
          <w:rFonts w:ascii="宋体" w:hAnsi="宋体"/>
          <w:snapToGrid w:val="0"/>
          <w:kern w:val="0"/>
          <w:szCs w:val="21"/>
        </w:rPr>
        <w:t>人自行组织评标小组。</w:t>
      </w:r>
    </w:p>
    <w:p>
      <w:pPr>
        <w:pStyle w:val="9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w:t>
      </w:r>
      <w:r>
        <w:rPr>
          <w:rFonts w:ascii="Calibri" w:hAnsi="Calibri" w:eastAsia="宋体" w:cs="宋体"/>
          <w:sz w:val="21"/>
          <w:szCs w:val="21"/>
          <w:lang w:eastAsia="zh-CN"/>
        </w:rPr>
        <w:t>2</w:t>
      </w:r>
      <w:r>
        <w:rPr>
          <w:rFonts w:hint="eastAsia" w:ascii="宋体" w:hAnsi="宋体" w:eastAsia="宋体" w:cs="宋体"/>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rPr>
      </w:pPr>
      <w:bookmarkStart w:id="318" w:name="_Toc200513162"/>
      <w:bookmarkStart w:id="319" w:name="_Toc430530471"/>
      <w:bookmarkStart w:id="320" w:name="_Toc509218746"/>
      <w:bookmarkStart w:id="321" w:name="_Toc277082588"/>
      <w:bookmarkStart w:id="322" w:name="_Toc287607782"/>
      <w:bookmarkStart w:id="323" w:name="_Toc287620721"/>
      <w:bookmarkStart w:id="324" w:name="_Toc224103353"/>
      <w:bookmarkStart w:id="325" w:name="_Toc29897"/>
      <w:r>
        <w:rPr>
          <w:rFonts w:ascii="宋体" w:hAnsi="宋体"/>
          <w:b w:val="0"/>
          <w:snapToGrid w:val="0"/>
          <w:sz w:val="24"/>
          <w:szCs w:val="24"/>
        </w:rPr>
        <w:t>6.2  评标原则</w:t>
      </w:r>
      <w:bookmarkEnd w:id="318"/>
      <w:bookmarkEnd w:id="319"/>
      <w:bookmarkEnd w:id="320"/>
      <w:bookmarkEnd w:id="321"/>
      <w:bookmarkEnd w:id="322"/>
      <w:bookmarkEnd w:id="323"/>
      <w:bookmarkEnd w:id="324"/>
      <w:bookmarkEnd w:id="32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snapToGrid w:val="0"/>
        <w:spacing w:before="0" w:after="0" w:line="360" w:lineRule="auto"/>
        <w:rPr>
          <w:rFonts w:ascii="宋体" w:hAnsi="宋体"/>
          <w:b w:val="0"/>
          <w:snapToGrid w:val="0"/>
          <w:sz w:val="24"/>
          <w:szCs w:val="24"/>
        </w:rPr>
      </w:pPr>
      <w:bookmarkStart w:id="326" w:name="_Toc430530472"/>
      <w:bookmarkStart w:id="327" w:name="_Toc287620722"/>
      <w:bookmarkStart w:id="328" w:name="_Toc224103354"/>
      <w:bookmarkStart w:id="329" w:name="_Toc509218747"/>
      <w:bookmarkStart w:id="330" w:name="_Toc277082589"/>
      <w:bookmarkStart w:id="331" w:name="_Toc287607783"/>
      <w:bookmarkStart w:id="332" w:name="_Toc20628"/>
      <w:bookmarkStart w:id="333" w:name="_Toc200513163"/>
      <w:r>
        <w:rPr>
          <w:rFonts w:ascii="宋体" w:hAnsi="宋体"/>
          <w:b w:val="0"/>
          <w:snapToGrid w:val="0"/>
          <w:sz w:val="24"/>
          <w:szCs w:val="24"/>
        </w:rPr>
        <w:t>6.3  评标</w:t>
      </w:r>
      <w:bookmarkEnd w:id="326"/>
      <w:bookmarkEnd w:id="327"/>
      <w:bookmarkEnd w:id="328"/>
      <w:bookmarkEnd w:id="329"/>
      <w:bookmarkEnd w:id="330"/>
      <w:bookmarkEnd w:id="331"/>
      <w:bookmarkEnd w:id="332"/>
      <w:bookmarkEnd w:id="33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rPr>
      </w:pPr>
      <w:bookmarkStart w:id="334" w:name="_Toc430530473"/>
      <w:bookmarkStart w:id="335" w:name="_Toc15230"/>
      <w:bookmarkStart w:id="336" w:name="_Toc277082590"/>
      <w:bookmarkStart w:id="337" w:name="_Toc287607784"/>
      <w:bookmarkStart w:id="338" w:name="_Toc200513164"/>
      <w:bookmarkStart w:id="339" w:name="_Toc509218748"/>
      <w:bookmarkStart w:id="340" w:name="_Toc224103355"/>
      <w:bookmarkStart w:id="341" w:name="_Toc287620723"/>
      <w:r>
        <w:rPr>
          <w:rFonts w:ascii="宋体" w:hAnsi="宋体"/>
          <w:b w:val="0"/>
          <w:snapToGrid w:val="0"/>
        </w:rPr>
        <w:t>7. 合同授予</w:t>
      </w:r>
      <w:bookmarkEnd w:id="334"/>
      <w:bookmarkEnd w:id="335"/>
      <w:bookmarkEnd w:id="336"/>
      <w:bookmarkEnd w:id="337"/>
      <w:bookmarkEnd w:id="338"/>
      <w:bookmarkEnd w:id="339"/>
      <w:bookmarkEnd w:id="340"/>
      <w:bookmarkEnd w:id="341"/>
    </w:p>
    <w:p>
      <w:pPr>
        <w:pStyle w:val="5"/>
        <w:snapToGrid w:val="0"/>
        <w:spacing w:before="0" w:after="0" w:line="360" w:lineRule="auto"/>
        <w:rPr>
          <w:rFonts w:ascii="宋体" w:hAnsi="宋体"/>
          <w:b w:val="0"/>
          <w:snapToGrid w:val="0"/>
          <w:sz w:val="24"/>
          <w:szCs w:val="24"/>
        </w:rPr>
      </w:pPr>
      <w:bookmarkStart w:id="342" w:name="_Toc200513165"/>
      <w:bookmarkStart w:id="343" w:name="_Toc224103356"/>
      <w:bookmarkStart w:id="344" w:name="_Toc509218749"/>
      <w:bookmarkStart w:id="345" w:name="_Toc32274"/>
      <w:bookmarkStart w:id="346" w:name="_Toc287607785"/>
      <w:bookmarkStart w:id="347" w:name="_Toc430530474"/>
      <w:bookmarkStart w:id="348" w:name="_Toc277082591"/>
      <w:bookmarkStart w:id="349" w:name="_Toc287620724"/>
      <w:r>
        <w:rPr>
          <w:rFonts w:ascii="宋体" w:hAnsi="宋体"/>
          <w:b w:val="0"/>
          <w:snapToGrid w:val="0"/>
          <w:sz w:val="24"/>
          <w:szCs w:val="24"/>
        </w:rPr>
        <w:t>7.1  定标方式</w:t>
      </w:r>
      <w:bookmarkEnd w:id="342"/>
      <w:bookmarkEnd w:id="343"/>
      <w:bookmarkEnd w:id="344"/>
      <w:bookmarkEnd w:id="345"/>
      <w:bookmarkEnd w:id="346"/>
      <w:bookmarkEnd w:id="347"/>
      <w:bookmarkEnd w:id="348"/>
      <w:bookmarkEnd w:id="349"/>
    </w:p>
    <w:p>
      <w:pPr>
        <w:spacing w:line="360" w:lineRule="auto"/>
        <w:ind w:firstLine="420" w:firstLineChars="200"/>
        <w:rPr>
          <w:rFonts w:ascii="宋体" w:hAnsi="宋体"/>
          <w:szCs w:val="21"/>
        </w:rPr>
      </w:pPr>
      <w:r>
        <w:rPr>
          <w:rFonts w:ascii="宋体" w:hAnsi="宋体"/>
          <w:szCs w:val="21"/>
        </w:rPr>
        <w:t>国有资金占控股或者主导地位的依法必须进行</w:t>
      </w:r>
      <w:r>
        <w:rPr>
          <w:rFonts w:hint="eastAsia" w:ascii="宋体" w:hAnsi="宋体"/>
          <w:szCs w:val="21"/>
        </w:rPr>
        <w:t>采购</w:t>
      </w:r>
      <w:r>
        <w:rPr>
          <w:rFonts w:ascii="宋体" w:hAnsi="宋体"/>
          <w:szCs w:val="21"/>
        </w:rPr>
        <w:t>的项目，</w:t>
      </w:r>
      <w:r>
        <w:rPr>
          <w:rFonts w:hint="eastAsia" w:ascii="宋体" w:hAnsi="宋体"/>
          <w:szCs w:val="21"/>
        </w:rPr>
        <w:t>采购</w:t>
      </w:r>
      <w:r>
        <w:rPr>
          <w:rFonts w:ascii="宋体" w:hAnsi="宋体"/>
          <w:szCs w:val="21"/>
        </w:rPr>
        <w:t>人应当确定排名第一的中标候选人为中标人。排名第一的中标候选人放弃中标、因不可抗力不能履行合同、不按照</w:t>
      </w:r>
      <w:r>
        <w:rPr>
          <w:rFonts w:hint="eastAsia" w:ascii="宋体" w:hAnsi="宋体"/>
          <w:szCs w:val="21"/>
        </w:rPr>
        <w:t>采购</w:t>
      </w:r>
      <w:r>
        <w:rPr>
          <w:rFonts w:ascii="宋体" w:hAnsi="宋体"/>
          <w:szCs w:val="21"/>
        </w:rPr>
        <w:t>文件要求提交履约保证金，或者被查实存在影响中标结果的违法行为等情形，不符合中标条件的，</w:t>
      </w:r>
      <w:r>
        <w:rPr>
          <w:rFonts w:hint="eastAsia" w:ascii="宋体" w:hAnsi="宋体"/>
          <w:szCs w:val="21"/>
        </w:rPr>
        <w:t>采购</w:t>
      </w:r>
      <w:r>
        <w:rPr>
          <w:rFonts w:ascii="宋体" w:hAnsi="宋体"/>
          <w:szCs w:val="21"/>
        </w:rPr>
        <w:t>人可以按照评标委员会提出的中标候选人名单排序依次确定其他中标候选人为中标人，也可以重新</w:t>
      </w:r>
      <w:r>
        <w:rPr>
          <w:rFonts w:hint="eastAsia" w:ascii="宋体" w:hAnsi="宋体"/>
          <w:szCs w:val="21"/>
        </w:rPr>
        <w:t>采购</w:t>
      </w:r>
      <w:r>
        <w:rPr>
          <w:rFonts w:ascii="宋体" w:hAnsi="宋体"/>
          <w:szCs w:val="21"/>
        </w:rPr>
        <w:t>。</w:t>
      </w:r>
    </w:p>
    <w:p>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snapToGrid w:val="0"/>
        <w:spacing w:before="0" w:after="0" w:line="360" w:lineRule="auto"/>
        <w:rPr>
          <w:rFonts w:ascii="宋体" w:hAnsi="宋体"/>
          <w:b w:val="0"/>
          <w:snapToGrid w:val="0"/>
          <w:sz w:val="24"/>
          <w:szCs w:val="24"/>
        </w:rPr>
      </w:pPr>
      <w:bookmarkStart w:id="350" w:name="_Toc509218750"/>
      <w:bookmarkStart w:id="351" w:name="_Toc29133"/>
      <w:bookmarkStart w:id="352" w:name="_Toc430530475"/>
      <w:r>
        <w:rPr>
          <w:rFonts w:ascii="宋体" w:hAnsi="宋体"/>
          <w:b w:val="0"/>
          <w:snapToGrid w:val="0"/>
          <w:sz w:val="24"/>
          <w:szCs w:val="24"/>
        </w:rPr>
        <w:t>7.2  中标公示及中标通知</w:t>
      </w:r>
      <w:bookmarkEnd w:id="350"/>
      <w:bookmarkEnd w:id="351"/>
      <w:bookmarkEnd w:id="352"/>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采购</w:t>
      </w:r>
      <w:r>
        <w:rPr>
          <w:rFonts w:ascii="宋体" w:hAnsi="宋体"/>
          <w:snapToGrid w:val="0"/>
          <w:kern w:val="0"/>
          <w:szCs w:val="21"/>
        </w:rPr>
        <w:t>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rPr>
        <w:t>采购</w:t>
      </w:r>
      <w:r>
        <w:rPr>
          <w:rFonts w:ascii="宋体" w:hAnsi="宋体"/>
          <w:snapToGrid w:val="0"/>
          <w:kern w:val="0"/>
          <w:szCs w:val="21"/>
        </w:rPr>
        <w:t>人以书面形式向中标人发出中标通知书。</w:t>
      </w:r>
    </w:p>
    <w:p>
      <w:pPr>
        <w:pStyle w:val="5"/>
        <w:snapToGrid w:val="0"/>
        <w:spacing w:before="0" w:after="0" w:line="360" w:lineRule="auto"/>
        <w:rPr>
          <w:rFonts w:ascii="宋体" w:hAnsi="宋体"/>
          <w:b w:val="0"/>
          <w:snapToGrid w:val="0"/>
          <w:sz w:val="24"/>
          <w:szCs w:val="24"/>
        </w:rPr>
      </w:pPr>
      <w:bookmarkStart w:id="353" w:name="_Toc277082593"/>
      <w:bookmarkStart w:id="354" w:name="_Toc287620726"/>
      <w:bookmarkStart w:id="355" w:name="_Toc200513167"/>
      <w:bookmarkStart w:id="356" w:name="_Toc224103358"/>
      <w:bookmarkStart w:id="357" w:name="_Toc21475"/>
      <w:bookmarkStart w:id="358" w:name="_Toc430530476"/>
      <w:bookmarkStart w:id="359" w:name="_Toc287607787"/>
      <w:bookmarkStart w:id="360" w:name="_Toc509218751"/>
      <w:r>
        <w:rPr>
          <w:rFonts w:ascii="宋体" w:hAnsi="宋体"/>
          <w:b w:val="0"/>
          <w:snapToGrid w:val="0"/>
          <w:sz w:val="24"/>
          <w:szCs w:val="24"/>
        </w:rPr>
        <w:t>7.3  履约担保</w:t>
      </w:r>
      <w:bookmarkEnd w:id="353"/>
      <w:bookmarkEnd w:id="354"/>
      <w:bookmarkEnd w:id="355"/>
      <w:bookmarkEnd w:id="356"/>
      <w:bookmarkEnd w:id="357"/>
      <w:bookmarkEnd w:id="358"/>
      <w:bookmarkEnd w:id="359"/>
      <w:bookmarkEnd w:id="360"/>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文件第四章“合同条款及格式”规定的履约担保格式向</w:t>
      </w:r>
      <w:r>
        <w:rPr>
          <w:rFonts w:hint="eastAsia" w:ascii="宋体" w:hAnsi="宋体"/>
          <w:snapToGrid w:val="0"/>
          <w:kern w:val="0"/>
          <w:szCs w:val="21"/>
        </w:rPr>
        <w:t>采购</w:t>
      </w:r>
      <w:r>
        <w:rPr>
          <w:rFonts w:ascii="宋体" w:hAnsi="宋体"/>
          <w:snapToGrid w:val="0"/>
          <w:kern w:val="0"/>
          <w:szCs w:val="21"/>
        </w:rPr>
        <w:t>人提交履约担保。联合体中标的，其履约担保由牵头人递交，并应符合投标人须知前附表规定的金额、担保形式和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pStyle w:val="5"/>
        <w:snapToGrid w:val="0"/>
        <w:spacing w:before="0" w:after="0" w:line="360" w:lineRule="auto"/>
        <w:rPr>
          <w:rFonts w:ascii="宋体" w:hAnsi="宋体"/>
          <w:b w:val="0"/>
          <w:snapToGrid w:val="0"/>
          <w:sz w:val="24"/>
          <w:szCs w:val="24"/>
        </w:rPr>
      </w:pPr>
      <w:bookmarkStart w:id="361" w:name="_Toc287607788"/>
      <w:bookmarkStart w:id="362" w:name="_Toc26300"/>
      <w:bookmarkStart w:id="363" w:name="_Toc509218752"/>
      <w:bookmarkStart w:id="364" w:name="_Toc200513168"/>
      <w:bookmarkStart w:id="365" w:name="_Toc430530477"/>
      <w:bookmarkStart w:id="366" w:name="_Toc287620727"/>
      <w:bookmarkStart w:id="367" w:name="_Toc277082594"/>
      <w:bookmarkStart w:id="368" w:name="_Toc224103359"/>
      <w:r>
        <w:rPr>
          <w:rFonts w:ascii="宋体" w:hAnsi="宋体"/>
          <w:b w:val="0"/>
          <w:snapToGrid w:val="0"/>
          <w:sz w:val="24"/>
          <w:szCs w:val="24"/>
        </w:rPr>
        <w:t>7.4  签订合同</w:t>
      </w:r>
      <w:bookmarkEnd w:id="361"/>
      <w:bookmarkEnd w:id="362"/>
      <w:bookmarkEnd w:id="363"/>
      <w:bookmarkEnd w:id="364"/>
      <w:bookmarkEnd w:id="365"/>
      <w:bookmarkEnd w:id="366"/>
      <w:bookmarkEnd w:id="367"/>
      <w:bookmarkEnd w:id="368"/>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采购</w:t>
      </w:r>
      <w:r>
        <w:rPr>
          <w:rFonts w:ascii="宋体" w:hAnsi="宋体"/>
          <w:snapToGrid w:val="0"/>
          <w:kern w:val="0"/>
          <w:szCs w:val="21"/>
        </w:rPr>
        <w:t>人和中标人应当自中标通知书发出之日起 30 天内，根据</w:t>
      </w:r>
      <w:r>
        <w:rPr>
          <w:rFonts w:hint="eastAsia" w:ascii="宋体" w:hAnsi="宋体"/>
          <w:snapToGrid w:val="0"/>
          <w:kern w:val="0"/>
          <w:szCs w:val="21"/>
        </w:rPr>
        <w:t>采购</w:t>
      </w:r>
      <w:r>
        <w:rPr>
          <w:rFonts w:ascii="宋体" w:hAnsi="宋体"/>
          <w:snapToGrid w:val="0"/>
          <w:kern w:val="0"/>
          <w:szCs w:val="21"/>
        </w:rPr>
        <w:t>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不与采购人签订合同，在签订合同时向采购人提出附加条件或者更改合同实质性内容</w:t>
      </w:r>
      <w:r>
        <w:rPr>
          <w:rFonts w:ascii="宋体" w:hAnsi="宋体"/>
          <w:snapToGrid w:val="0"/>
          <w:kern w:val="0"/>
          <w:szCs w:val="21"/>
        </w:rPr>
        <w:t>，</w:t>
      </w:r>
      <w:r>
        <w:rPr>
          <w:rFonts w:hint="eastAsia" w:ascii="宋体" w:hAnsi="宋体" w:cs="宋体"/>
          <w:szCs w:val="21"/>
        </w:rPr>
        <w:t>或不按照采购文件要求提交低价风险担保（适用于经评审最低投标价法）或履约保证金的，</w:t>
      </w:r>
      <w:r>
        <w:rPr>
          <w:rFonts w:hint="eastAsia" w:ascii="宋体" w:hAnsi="宋体"/>
          <w:snapToGrid w:val="0"/>
          <w:kern w:val="0"/>
          <w:szCs w:val="21"/>
        </w:rPr>
        <w:t>采购</w:t>
      </w:r>
      <w:r>
        <w:rPr>
          <w:rFonts w:ascii="宋体" w:hAnsi="宋体"/>
          <w:snapToGrid w:val="0"/>
          <w:kern w:val="0"/>
          <w:szCs w:val="21"/>
        </w:rPr>
        <w:t>人取消其中标资格，其投标保证金不予退还；给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rPr>
        <w:t>采购</w:t>
      </w:r>
      <w:r>
        <w:rPr>
          <w:rFonts w:ascii="宋体" w:hAnsi="宋体"/>
          <w:snapToGrid w:val="0"/>
          <w:kern w:val="0"/>
          <w:szCs w:val="21"/>
        </w:rPr>
        <w:t>人无正当理由拒签合同的，</w:t>
      </w:r>
      <w:r>
        <w:rPr>
          <w:rFonts w:hint="eastAsia" w:ascii="宋体" w:hAnsi="宋体"/>
          <w:snapToGrid w:val="0"/>
          <w:kern w:val="0"/>
          <w:szCs w:val="21"/>
        </w:rPr>
        <w:t>采购</w:t>
      </w:r>
      <w:r>
        <w:rPr>
          <w:rFonts w:ascii="宋体" w:hAnsi="宋体"/>
          <w:snapToGrid w:val="0"/>
          <w:kern w:val="0"/>
          <w:szCs w:val="21"/>
        </w:rPr>
        <w:t>人向中标人退还投标保证金；给中标人造成损失的，还应当赔偿损失。</w:t>
      </w:r>
    </w:p>
    <w:p>
      <w:pPr>
        <w:pStyle w:val="4"/>
        <w:spacing w:before="0" w:after="0" w:line="360" w:lineRule="auto"/>
        <w:rPr>
          <w:rFonts w:ascii="宋体" w:hAnsi="宋体"/>
          <w:b w:val="0"/>
          <w:snapToGrid w:val="0"/>
        </w:rPr>
      </w:pPr>
      <w:bookmarkStart w:id="369" w:name="_Toc509218753"/>
      <w:bookmarkStart w:id="370" w:name="_Toc287620728"/>
      <w:bookmarkStart w:id="371" w:name="_Toc28692"/>
      <w:bookmarkStart w:id="372" w:name="_Toc224103360"/>
      <w:bookmarkStart w:id="373" w:name="_Toc430530478"/>
      <w:bookmarkStart w:id="374" w:name="_Toc277082595"/>
      <w:bookmarkStart w:id="375" w:name="_Toc287607789"/>
      <w:bookmarkStart w:id="376" w:name="_Toc200513169"/>
      <w:r>
        <w:rPr>
          <w:rFonts w:ascii="宋体" w:hAnsi="宋体"/>
          <w:b w:val="0"/>
          <w:snapToGrid w:val="0"/>
        </w:rPr>
        <w:t xml:space="preserve">8. </w:t>
      </w:r>
      <w:r>
        <w:rPr>
          <w:rFonts w:hint="eastAsia" w:ascii="宋体" w:hAnsi="宋体"/>
          <w:b w:val="0"/>
          <w:snapToGrid w:val="0"/>
          <w:lang w:val="en-US" w:eastAsia="zh-CN"/>
        </w:rPr>
        <w:t xml:space="preserve"> </w:t>
      </w:r>
      <w:r>
        <w:rPr>
          <w:rFonts w:ascii="宋体" w:hAnsi="宋体"/>
          <w:b w:val="0"/>
          <w:snapToGrid w:val="0"/>
        </w:rPr>
        <w:t>重新</w:t>
      </w:r>
      <w:r>
        <w:rPr>
          <w:rFonts w:hint="eastAsia" w:ascii="宋体" w:hAnsi="宋体"/>
          <w:b w:val="0"/>
          <w:snapToGrid w:val="0"/>
        </w:rPr>
        <w:t>采购</w:t>
      </w:r>
      <w:r>
        <w:rPr>
          <w:rFonts w:ascii="宋体" w:hAnsi="宋体"/>
          <w:b w:val="0"/>
          <w:snapToGrid w:val="0"/>
        </w:rPr>
        <w:t>和不再</w:t>
      </w:r>
      <w:bookmarkEnd w:id="369"/>
      <w:bookmarkEnd w:id="370"/>
      <w:bookmarkEnd w:id="371"/>
      <w:bookmarkEnd w:id="372"/>
      <w:bookmarkEnd w:id="373"/>
      <w:bookmarkEnd w:id="374"/>
      <w:bookmarkEnd w:id="375"/>
      <w:bookmarkEnd w:id="376"/>
      <w:r>
        <w:rPr>
          <w:rFonts w:hint="eastAsia" w:ascii="宋体" w:hAnsi="宋体"/>
          <w:b w:val="0"/>
          <w:snapToGrid w:val="0"/>
        </w:rPr>
        <w:t>采购</w:t>
      </w:r>
    </w:p>
    <w:p>
      <w:pPr>
        <w:pStyle w:val="5"/>
        <w:snapToGrid w:val="0"/>
        <w:spacing w:before="0" w:after="0" w:line="360" w:lineRule="auto"/>
        <w:rPr>
          <w:rFonts w:ascii="宋体" w:hAnsi="宋体"/>
          <w:b w:val="0"/>
          <w:snapToGrid w:val="0"/>
          <w:sz w:val="24"/>
          <w:szCs w:val="24"/>
        </w:rPr>
      </w:pPr>
      <w:bookmarkStart w:id="377" w:name="_Toc287607790"/>
      <w:bookmarkStart w:id="378" w:name="_Toc509218754"/>
      <w:bookmarkStart w:id="379" w:name="_Toc277082596"/>
      <w:bookmarkStart w:id="380" w:name="_Toc200513170"/>
      <w:bookmarkStart w:id="381" w:name="_Toc224103361"/>
      <w:bookmarkStart w:id="382" w:name="_Toc287620729"/>
      <w:bookmarkStart w:id="383" w:name="_Toc430530479"/>
      <w:bookmarkStart w:id="384" w:name="_Toc1745"/>
      <w:r>
        <w:rPr>
          <w:rFonts w:ascii="宋体" w:hAnsi="宋体"/>
          <w:b w:val="0"/>
          <w:snapToGrid w:val="0"/>
          <w:sz w:val="24"/>
          <w:szCs w:val="24"/>
        </w:rPr>
        <w:t>8.1  重新</w:t>
      </w:r>
      <w:bookmarkEnd w:id="377"/>
      <w:bookmarkEnd w:id="378"/>
      <w:bookmarkEnd w:id="379"/>
      <w:bookmarkEnd w:id="380"/>
      <w:bookmarkEnd w:id="381"/>
      <w:bookmarkEnd w:id="382"/>
      <w:bookmarkEnd w:id="383"/>
      <w:r>
        <w:rPr>
          <w:rFonts w:hint="eastAsia" w:ascii="宋体" w:hAnsi="宋体"/>
          <w:b w:val="0"/>
          <w:snapToGrid w:val="0"/>
          <w:sz w:val="24"/>
          <w:szCs w:val="24"/>
        </w:rPr>
        <w:t>采购的情形</w:t>
      </w:r>
      <w:bookmarkEnd w:id="384"/>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采购</w:t>
      </w:r>
      <w:r>
        <w:rPr>
          <w:rFonts w:ascii="宋体" w:hAnsi="宋体"/>
          <w:snapToGrid w:val="0"/>
          <w:kern w:val="0"/>
          <w:szCs w:val="21"/>
        </w:rPr>
        <w:t>人将重新</w:t>
      </w:r>
      <w:r>
        <w:rPr>
          <w:rFonts w:hint="eastAsia" w:ascii="宋体" w:hAnsi="宋体"/>
          <w:snapToGrid w:val="0"/>
          <w:kern w:val="0"/>
          <w:szCs w:val="21"/>
        </w:rPr>
        <w:t>采购</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采购文件要求的，评标委员会可以继续评标并确定中标候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snapToGrid w:val="0"/>
        <w:spacing w:before="0" w:after="0" w:line="360" w:lineRule="auto"/>
        <w:rPr>
          <w:rFonts w:ascii="宋体" w:hAnsi="宋体"/>
          <w:b w:val="0"/>
          <w:snapToGrid w:val="0"/>
          <w:sz w:val="24"/>
          <w:szCs w:val="24"/>
        </w:rPr>
      </w:pPr>
      <w:bookmarkStart w:id="385" w:name="_Toc200513171"/>
      <w:bookmarkStart w:id="386" w:name="_Toc430530480"/>
      <w:bookmarkStart w:id="387" w:name="_Toc287607791"/>
      <w:bookmarkStart w:id="388" w:name="_Toc277082597"/>
      <w:bookmarkStart w:id="389" w:name="_Toc509218755"/>
      <w:bookmarkStart w:id="390" w:name="_Toc224103362"/>
      <w:bookmarkStart w:id="391" w:name="_Toc248"/>
      <w:bookmarkStart w:id="392" w:name="_Toc287620730"/>
      <w:r>
        <w:rPr>
          <w:rFonts w:ascii="宋体" w:hAnsi="宋体"/>
          <w:b w:val="0"/>
          <w:snapToGrid w:val="0"/>
          <w:sz w:val="24"/>
          <w:szCs w:val="24"/>
        </w:rPr>
        <w:t xml:space="preserve">8.2  </w:t>
      </w:r>
      <w:r>
        <w:rPr>
          <w:rFonts w:hint="eastAsia" w:ascii="宋体" w:hAnsi="宋体"/>
          <w:b w:val="0"/>
          <w:snapToGrid w:val="0"/>
          <w:sz w:val="24"/>
          <w:szCs w:val="24"/>
        </w:rPr>
        <w:t>重新采购</w:t>
      </w:r>
      <w:r>
        <w:rPr>
          <w:rFonts w:ascii="宋体" w:hAnsi="宋体"/>
          <w:b w:val="0"/>
          <w:snapToGrid w:val="0"/>
          <w:sz w:val="24"/>
          <w:szCs w:val="24"/>
        </w:rPr>
        <w:t>和不再</w:t>
      </w:r>
      <w:bookmarkEnd w:id="385"/>
      <w:bookmarkEnd w:id="386"/>
      <w:bookmarkEnd w:id="387"/>
      <w:bookmarkEnd w:id="388"/>
      <w:bookmarkEnd w:id="389"/>
      <w:bookmarkEnd w:id="390"/>
      <w:bookmarkEnd w:id="391"/>
      <w:bookmarkEnd w:id="392"/>
      <w:r>
        <w:rPr>
          <w:rFonts w:hint="eastAsia" w:ascii="宋体" w:hAnsi="宋体"/>
          <w:b w:val="0"/>
          <w:snapToGrid w:val="0"/>
          <w:sz w:val="24"/>
          <w:szCs w:val="24"/>
        </w:rPr>
        <w:t>采购</w:t>
      </w:r>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bookmarkStart w:id="393" w:name="_Toc3833"/>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bookmarkEnd w:id="393"/>
    <w:p>
      <w:pPr>
        <w:pStyle w:val="3"/>
        <w:spacing w:line="360" w:lineRule="auto"/>
        <w:ind w:firstLine="883" w:firstLineChars="200"/>
        <w:jc w:val="center"/>
        <w:rPr>
          <w:rFonts w:ascii="宋体" w:hAnsi="宋体"/>
        </w:rPr>
        <w:sectPr>
          <w:footerReference r:id="rId3" w:type="default"/>
          <w:footerReference r:id="rId4" w:type="even"/>
          <w:pgSz w:w="11906" w:h="16838"/>
          <w:pgMar w:top="1304" w:right="1134" w:bottom="1304" w:left="1304" w:header="851" w:footer="992" w:gutter="0"/>
          <w:cols w:space="720" w:num="1"/>
          <w:docGrid w:type="lines" w:linePitch="312" w:charSpace="0"/>
        </w:sectPr>
      </w:pPr>
      <w:bookmarkStart w:id="394" w:name="_Toc57820625"/>
      <w:bookmarkStart w:id="395" w:name="_Toc509218774"/>
      <w:bookmarkStart w:id="396" w:name="_Toc509218785"/>
      <w:bookmarkStart w:id="397" w:name="_Toc22492"/>
      <w:bookmarkStart w:id="398" w:name="_Toc430530509"/>
    </w:p>
    <w:p>
      <w:pPr>
        <w:pStyle w:val="3"/>
        <w:spacing w:line="360" w:lineRule="auto"/>
        <w:ind w:firstLine="883" w:firstLineChars="200"/>
        <w:jc w:val="center"/>
        <w:rPr>
          <w:rFonts w:ascii="宋体" w:hAnsi="宋体"/>
        </w:rPr>
      </w:pPr>
      <w:r>
        <w:rPr>
          <w:rFonts w:ascii="宋体" w:hAnsi="宋体"/>
        </w:rPr>
        <w:t xml:space="preserve">第三章 </w:t>
      </w:r>
      <w:r>
        <w:rPr>
          <w:rFonts w:hint="eastAsia" w:ascii="宋体" w:hAnsi="宋体"/>
        </w:rPr>
        <w:t xml:space="preserve"> </w:t>
      </w:r>
      <w:r>
        <w:rPr>
          <w:rFonts w:ascii="宋体" w:hAnsi="宋体"/>
        </w:rPr>
        <w:t>评标办法（综合评估法）</w:t>
      </w:r>
      <w:bookmarkEnd w:id="394"/>
      <w:bookmarkEnd w:id="395"/>
      <w:bookmarkStart w:id="399" w:name="_Toc430530499"/>
      <w:bookmarkStart w:id="400" w:name="_Toc277082617"/>
      <w:bookmarkStart w:id="401" w:name="_Toc224103383"/>
      <w:bookmarkStart w:id="402" w:name="_Toc287607811"/>
      <w:bookmarkStart w:id="403" w:name="_Toc287620750"/>
    </w:p>
    <w:p>
      <w:pPr>
        <w:pStyle w:val="4"/>
        <w:spacing w:before="100" w:after="100" w:line="360" w:lineRule="auto"/>
        <w:rPr>
          <w:rFonts w:ascii="宋体" w:hAnsi="宋体"/>
        </w:rPr>
      </w:pPr>
      <w:bookmarkStart w:id="404" w:name="_Toc509218775"/>
      <w:bookmarkStart w:id="405" w:name="_Toc57820626"/>
      <w:r>
        <w:rPr>
          <w:rFonts w:hint="eastAsia" w:ascii="宋体" w:hAnsi="宋体"/>
        </w:rPr>
        <w:t>评标办法前附表</w:t>
      </w:r>
      <w:bookmarkEnd w:id="404"/>
      <w:bookmarkEnd w:id="405"/>
    </w:p>
    <w:p>
      <w:pPr>
        <w:spacing w:line="360" w:lineRule="auto"/>
        <w:ind w:firstLine="420" w:firstLineChars="200"/>
        <w:rPr>
          <w:szCs w:val="21"/>
        </w:rPr>
      </w:pPr>
      <w:r>
        <w:rPr>
          <w:szCs w:val="21"/>
        </w:rPr>
        <w:t>评标办法中的评审内容必须和投标人须知中的对应内容一致，若投标人须知中未作要求的内容，不得列入评标办法作为评定依据。</w:t>
      </w:r>
    </w:p>
    <w:tbl>
      <w:tblPr>
        <w:tblStyle w:val="46"/>
        <w:tblW w:w="947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32"/>
        <w:gridCol w:w="535"/>
        <w:gridCol w:w="850"/>
        <w:gridCol w:w="696"/>
        <w:gridCol w:w="1014"/>
        <w:gridCol w:w="54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pPr>
              <w:spacing w:line="400" w:lineRule="exact"/>
              <w:jc w:val="center"/>
              <w:rPr>
                <w:rFonts w:ascii="宋体" w:hAnsi="宋体"/>
                <w:b/>
                <w:kern w:val="0"/>
              </w:rPr>
            </w:pPr>
            <w:r>
              <w:rPr>
                <w:rFonts w:ascii="宋体" w:hAnsi="宋体"/>
                <w:b/>
                <w:kern w:val="0"/>
              </w:rPr>
              <w:t>条款号</w:t>
            </w:r>
          </w:p>
        </w:tc>
        <w:tc>
          <w:tcPr>
            <w:tcW w:w="2560" w:type="dxa"/>
            <w:gridSpan w:val="3"/>
            <w:vAlign w:val="center"/>
          </w:tcPr>
          <w:p>
            <w:pPr>
              <w:spacing w:line="400" w:lineRule="exact"/>
              <w:jc w:val="center"/>
              <w:rPr>
                <w:rFonts w:ascii="宋体" w:hAnsi="宋体"/>
                <w:b/>
                <w:kern w:val="0"/>
              </w:rPr>
            </w:pPr>
            <w:r>
              <w:rPr>
                <w:rFonts w:ascii="宋体" w:hAnsi="宋体"/>
                <w:b/>
                <w:kern w:val="0"/>
              </w:rPr>
              <w:t>评审因素</w:t>
            </w:r>
          </w:p>
        </w:tc>
        <w:tc>
          <w:tcPr>
            <w:tcW w:w="5493" w:type="dxa"/>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422" w:type="dxa"/>
            <w:gridSpan w:val="3"/>
            <w:vAlign w:val="center"/>
          </w:tcPr>
          <w:p>
            <w:pPr>
              <w:spacing w:line="400" w:lineRule="exact"/>
              <w:jc w:val="center"/>
              <w:rPr>
                <w:rFonts w:ascii="宋体" w:hAnsi="宋体"/>
                <w:kern w:val="0"/>
              </w:rPr>
            </w:pPr>
            <w:r>
              <w:rPr>
                <w:rFonts w:hint="eastAsia" w:ascii="宋体" w:hAnsi="宋体"/>
                <w:kern w:val="0"/>
              </w:rPr>
              <w:t>1</w:t>
            </w:r>
          </w:p>
        </w:tc>
        <w:tc>
          <w:tcPr>
            <w:tcW w:w="2560" w:type="dxa"/>
            <w:gridSpan w:val="3"/>
            <w:vAlign w:val="center"/>
          </w:tcPr>
          <w:p>
            <w:pPr>
              <w:spacing w:line="400" w:lineRule="exact"/>
              <w:jc w:val="center"/>
              <w:rPr>
                <w:rFonts w:ascii="宋体" w:hAnsi="宋体"/>
                <w:kern w:val="0"/>
              </w:rPr>
            </w:pPr>
            <w:r>
              <w:rPr>
                <w:rFonts w:hint="eastAsia" w:ascii="宋体" w:hAnsi="宋体"/>
                <w:kern w:val="0"/>
              </w:rPr>
              <w:t>评标办法</w:t>
            </w:r>
          </w:p>
        </w:tc>
        <w:tc>
          <w:tcPr>
            <w:tcW w:w="5493" w:type="dxa"/>
            <w:vAlign w:val="center"/>
          </w:tcPr>
          <w:p>
            <w:pPr>
              <w:spacing w:line="400" w:lineRule="exact"/>
              <w:ind w:firstLine="420" w:firstLineChars="200"/>
              <w:jc w:val="left"/>
              <w:rPr>
                <w:rFonts w:ascii="宋体" w:hAnsi="宋体"/>
                <w:kern w:val="0"/>
              </w:rPr>
            </w:pPr>
            <w:r>
              <w:rPr>
                <w:rFonts w:hint="eastAsia" w:ascii="宋体" w:hAnsi="宋体"/>
                <w:kern w:val="0"/>
              </w:rPr>
              <w:t>本次评标采用综合评估法。评标委员会按照本章第 2.2 款规定的评分标准进行打分，按得分由高到低顺序推荐中标候选人，或根据招标人授权直接确定中标人。综合评分相等时，以投标报价低的优先；投标报价相等的，以“投标人在红名单中优先”的原则排序</w:t>
            </w:r>
            <w:r>
              <w:rPr>
                <w:rFonts w:hint="eastAsia" w:ascii="宋体" w:hAnsi="宋体"/>
                <w:spacing w:val="4"/>
                <w:kern w:val="0"/>
                <w:szCs w:val="21"/>
              </w:rPr>
              <w:t>（联合体投标的，须联合体牵头人在红名单中），投标人是否属于红名单，以开标环节信用状况查询结果为准</w:t>
            </w:r>
            <w:r>
              <w:rPr>
                <w:rFonts w:hint="eastAsia" w:ascii="宋体" w:hAnsi="宋体"/>
                <w:kern w:val="0"/>
              </w:rPr>
              <w:t>；投标人均在红名单中或均不在红名单中的，由评标委员会按照</w:t>
            </w:r>
            <w:r>
              <w:rPr>
                <w:rFonts w:hint="eastAsia" w:ascii="宋体" w:hAnsi="宋体"/>
                <w:kern w:val="0"/>
                <w:u w:val="single"/>
              </w:rPr>
              <w:t xml:space="preserve">   </w:t>
            </w:r>
            <w:r>
              <w:rPr>
                <w:rFonts w:hint="eastAsia" w:ascii="宋体" w:hAnsi="宋体" w:cs="宋体"/>
                <w:color w:val="auto"/>
                <w:kern w:val="0"/>
                <w:szCs w:val="21"/>
                <w:highlight w:val="none"/>
                <w:u w:val="single"/>
              </w:rPr>
              <w:t>得分由高到低</w:t>
            </w:r>
            <w:r>
              <w:rPr>
                <w:rFonts w:hint="eastAsia" w:ascii="宋体" w:hAnsi="宋体"/>
                <w:kern w:val="0"/>
                <w:u w:val="single"/>
              </w:rPr>
              <w:t xml:space="preserve">   </w:t>
            </w:r>
            <w:r>
              <w:rPr>
                <w:rFonts w:hint="eastAsia" w:ascii="宋体" w:hAnsi="宋体"/>
                <w:kern w:val="0"/>
              </w:rPr>
              <w:t>原则排序。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2.1.</w:t>
            </w:r>
            <w:r>
              <w:rPr>
                <w:rFonts w:hint="eastAsia" w:ascii="宋体" w:hAnsi="宋体"/>
                <w:kern w:val="0"/>
              </w:rPr>
              <w:t>1</w:t>
            </w:r>
          </w:p>
        </w:tc>
        <w:tc>
          <w:tcPr>
            <w:tcW w:w="567" w:type="dxa"/>
            <w:gridSpan w:val="2"/>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资格评审标准</w:t>
            </w:r>
          </w:p>
        </w:tc>
        <w:tc>
          <w:tcPr>
            <w:tcW w:w="2560" w:type="dxa"/>
            <w:gridSpan w:val="3"/>
            <w:tcBorders>
              <w:left w:val="single" w:color="auto" w:sz="4" w:space="0"/>
            </w:tcBorders>
            <w:vAlign w:val="center"/>
          </w:tcPr>
          <w:p>
            <w:pPr>
              <w:spacing w:line="400" w:lineRule="exact"/>
              <w:jc w:val="left"/>
              <w:rPr>
                <w:rFonts w:ascii="宋体" w:hAnsi="宋体"/>
                <w:kern w:val="0"/>
              </w:rPr>
            </w:pPr>
            <w:r>
              <w:rPr>
                <w:rFonts w:hint="eastAsia" w:ascii="宋体" w:hAnsi="宋体"/>
                <w:kern w:val="0"/>
              </w:rPr>
              <w:t>资质条件</w:t>
            </w:r>
          </w:p>
        </w:tc>
        <w:tc>
          <w:tcPr>
            <w:tcW w:w="5493" w:type="dxa"/>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tcPr>
          <w:p>
            <w:pPr>
              <w:spacing w:line="400" w:lineRule="exact"/>
              <w:jc w:val="left"/>
              <w:rPr>
                <w:rFonts w:ascii="宋体" w:hAnsi="宋体"/>
                <w:kern w:val="0"/>
              </w:rPr>
            </w:pPr>
            <w:r>
              <w:rPr>
                <w:rFonts w:hint="eastAsia" w:ascii="宋体" w:hAnsi="宋体"/>
                <w:kern w:val="0"/>
              </w:rPr>
              <w:t>营业执照</w:t>
            </w:r>
          </w:p>
        </w:tc>
        <w:tc>
          <w:tcPr>
            <w:tcW w:w="5493" w:type="dxa"/>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tcPr>
          <w:p>
            <w:pPr>
              <w:spacing w:line="400" w:lineRule="exact"/>
              <w:jc w:val="left"/>
              <w:rPr>
                <w:rFonts w:ascii="宋体" w:hAnsi="宋体"/>
                <w:kern w:val="0"/>
              </w:rPr>
            </w:pPr>
            <w:r>
              <w:rPr>
                <w:rFonts w:hint="eastAsia" w:ascii="宋体" w:hAnsi="宋体"/>
                <w:kern w:val="0"/>
              </w:rPr>
              <w:t>安全生产条件</w:t>
            </w:r>
          </w:p>
        </w:tc>
        <w:tc>
          <w:tcPr>
            <w:tcW w:w="5493" w:type="dxa"/>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vAlign w:val="center"/>
          </w:tcPr>
          <w:p>
            <w:pPr>
              <w:spacing w:line="400" w:lineRule="exact"/>
              <w:jc w:val="left"/>
              <w:rPr>
                <w:rFonts w:ascii="宋体" w:hAnsi="宋体"/>
                <w:kern w:val="0"/>
              </w:rPr>
            </w:pPr>
            <w:r>
              <w:rPr>
                <w:rFonts w:hint="eastAsia" w:ascii="宋体" w:hAnsi="宋体" w:cs="宋体"/>
                <w:kern w:val="0"/>
              </w:rPr>
              <w:t>□</w:t>
            </w:r>
            <w:r>
              <w:rPr>
                <w:rFonts w:ascii="宋体" w:hAnsi="宋体"/>
                <w:kern w:val="0"/>
              </w:rPr>
              <w:t>财务</w:t>
            </w:r>
            <w:r>
              <w:rPr>
                <w:rFonts w:hint="eastAsia" w:ascii="宋体" w:hAnsi="宋体"/>
                <w:kern w:val="0"/>
              </w:rPr>
              <w:t>要求</w:t>
            </w:r>
          </w:p>
        </w:tc>
        <w:tc>
          <w:tcPr>
            <w:tcW w:w="5493" w:type="dxa"/>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tcPr>
          <w:p>
            <w:pPr>
              <w:spacing w:line="400" w:lineRule="exact"/>
              <w:jc w:val="left"/>
              <w:rPr>
                <w:rFonts w:ascii="宋体" w:hAnsi="宋体"/>
                <w:kern w:val="0"/>
              </w:rPr>
            </w:pPr>
            <w:r>
              <w:rPr>
                <w:rFonts w:hint="eastAsia" w:ascii="宋体" w:hAnsi="宋体" w:cs="宋体"/>
                <w:kern w:val="0"/>
              </w:rPr>
              <w:t>□</w:t>
            </w:r>
            <w:r>
              <w:rPr>
                <w:rFonts w:hint="eastAsia" w:ascii="宋体" w:hAnsi="宋体"/>
                <w:kern w:val="0"/>
              </w:rPr>
              <w:t>业绩要求</w:t>
            </w:r>
          </w:p>
        </w:tc>
        <w:tc>
          <w:tcPr>
            <w:tcW w:w="5493" w:type="dxa"/>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tcPr>
          <w:p>
            <w:pPr>
              <w:spacing w:line="400" w:lineRule="exact"/>
              <w:jc w:val="left"/>
              <w:rPr>
                <w:rFonts w:ascii="宋体" w:hAnsi="宋体"/>
                <w:kern w:val="0"/>
              </w:rPr>
            </w:pPr>
            <w:r>
              <w:rPr>
                <w:rFonts w:ascii="宋体" w:hAnsi="宋体"/>
                <w:szCs w:val="21"/>
              </w:rPr>
              <w:t>投标截止日投标资格情况</w:t>
            </w:r>
          </w:p>
        </w:tc>
        <w:tc>
          <w:tcPr>
            <w:tcW w:w="5493" w:type="dxa"/>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tcPr>
          <w:p>
            <w:pPr>
              <w:spacing w:line="400" w:lineRule="exact"/>
              <w:jc w:val="left"/>
              <w:rPr>
                <w:rFonts w:ascii="宋体" w:hAnsi="宋体"/>
                <w:kern w:val="0"/>
              </w:rPr>
            </w:pPr>
            <w:r>
              <w:rPr>
                <w:rFonts w:ascii="宋体" w:hAnsi="宋体"/>
                <w:kern w:val="0"/>
              </w:rPr>
              <w:t>其他要求</w:t>
            </w:r>
          </w:p>
        </w:tc>
        <w:tc>
          <w:tcPr>
            <w:tcW w:w="5493" w:type="dxa"/>
            <w:vAlign w:val="center"/>
          </w:tcPr>
          <w:p>
            <w:pPr>
              <w:spacing w:line="400" w:lineRule="exact"/>
              <w:ind w:firstLine="420" w:firstLineChars="200"/>
              <w:jc w:val="left"/>
              <w:rPr>
                <w:rFonts w:ascii="宋体" w:hAnsi="宋体"/>
                <w:kern w:val="0"/>
              </w:rPr>
            </w:pPr>
            <w:r>
              <w:rPr>
                <w:rFonts w:ascii="宋体" w:hAnsi="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tcPr>
          <w:p>
            <w:pPr>
              <w:spacing w:line="400" w:lineRule="exact"/>
              <w:jc w:val="left"/>
              <w:rPr>
                <w:rFonts w:ascii="宋体" w:hAnsi="宋体"/>
                <w:kern w:val="0"/>
              </w:rPr>
            </w:pPr>
            <w:r>
              <w:rPr>
                <w:rFonts w:hint="eastAsia" w:ascii="宋体" w:hAnsi="宋体" w:cs="宋体"/>
                <w:kern w:val="0"/>
              </w:rPr>
              <w:t>□</w:t>
            </w:r>
            <w:r>
              <w:rPr>
                <w:rFonts w:ascii="宋体" w:hAnsi="宋体"/>
                <w:kern w:val="0"/>
              </w:rPr>
              <w:t>联合体投标人</w:t>
            </w:r>
          </w:p>
        </w:tc>
        <w:tc>
          <w:tcPr>
            <w:tcW w:w="5493" w:type="dxa"/>
            <w:vAlign w:val="center"/>
          </w:tcPr>
          <w:p>
            <w:pPr>
              <w:spacing w:line="400" w:lineRule="exact"/>
              <w:ind w:firstLine="420" w:firstLineChars="200"/>
              <w:jc w:val="left"/>
              <w:rPr>
                <w:rFonts w:ascii="宋体" w:hAnsi="宋体"/>
                <w:kern w:val="0"/>
              </w:rPr>
            </w:pPr>
            <w:r>
              <w:rPr>
                <w:rFonts w:ascii="宋体" w:hAnsi="宋体"/>
                <w:kern w:val="0"/>
              </w:rPr>
              <w:t>符合第二章“投标人须知”第1.4.2项规定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2.1.</w:t>
            </w:r>
            <w:r>
              <w:rPr>
                <w:rFonts w:hint="eastAsia" w:ascii="宋体" w:hAnsi="宋体"/>
                <w:kern w:val="0"/>
              </w:rPr>
              <w:t>2</w:t>
            </w:r>
          </w:p>
        </w:tc>
        <w:tc>
          <w:tcPr>
            <w:tcW w:w="567" w:type="dxa"/>
            <w:gridSpan w:val="2"/>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形式评审标准</w:t>
            </w:r>
          </w:p>
        </w:tc>
        <w:tc>
          <w:tcPr>
            <w:tcW w:w="2560" w:type="dxa"/>
            <w:gridSpan w:val="3"/>
            <w:tcBorders>
              <w:left w:val="single" w:color="auto" w:sz="4" w:space="0"/>
            </w:tcBorders>
            <w:vAlign w:val="center"/>
          </w:tcPr>
          <w:p>
            <w:pPr>
              <w:spacing w:line="400" w:lineRule="exact"/>
              <w:jc w:val="left"/>
              <w:rPr>
                <w:rFonts w:ascii="宋体" w:hAnsi="宋体"/>
                <w:kern w:val="0"/>
              </w:rPr>
            </w:pPr>
            <w:r>
              <w:rPr>
                <w:rFonts w:ascii="宋体" w:hAnsi="宋体"/>
                <w:kern w:val="0"/>
              </w:rPr>
              <w:t>投标人名称</w:t>
            </w:r>
          </w:p>
        </w:tc>
        <w:tc>
          <w:tcPr>
            <w:tcW w:w="5493" w:type="dxa"/>
            <w:vAlign w:val="center"/>
          </w:tcPr>
          <w:p>
            <w:pPr>
              <w:spacing w:line="400" w:lineRule="exact"/>
              <w:ind w:firstLine="420" w:firstLineChars="200"/>
              <w:rPr>
                <w:rFonts w:ascii="宋体" w:hAnsi="宋体"/>
                <w:kern w:val="0"/>
              </w:rPr>
            </w:pPr>
            <w:r>
              <w:rPr>
                <w:rFonts w:ascii="宋体" w:hAnsi="宋体"/>
                <w:kern w:val="0"/>
              </w:rPr>
              <w:t>与营业执照、资质证书、安全生产许可证一致</w:t>
            </w:r>
            <w:r>
              <w:rPr>
                <w:rFonts w:hint="eastAsia" w:ascii="宋体" w:hAnsi="宋体"/>
                <w:kern w:val="0"/>
              </w:rPr>
              <w:t>，依法变更名称的应提交相应证明材料</w:t>
            </w:r>
            <w:r>
              <w:rPr>
                <w:rFonts w:ascii="宋体" w:hAnsi="宋体"/>
                <w:kern w:val="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vAlign w:val="center"/>
          </w:tcPr>
          <w:p>
            <w:pPr>
              <w:spacing w:line="400" w:lineRule="exact"/>
              <w:jc w:val="left"/>
              <w:rPr>
                <w:rFonts w:ascii="宋体" w:hAnsi="宋体"/>
                <w:kern w:val="0"/>
              </w:rPr>
            </w:pPr>
            <w:r>
              <w:rPr>
                <w:rFonts w:ascii="宋体" w:hAnsi="宋体"/>
                <w:kern w:val="0"/>
              </w:rPr>
              <w:t>投标文件格式</w:t>
            </w:r>
          </w:p>
        </w:tc>
        <w:tc>
          <w:tcPr>
            <w:tcW w:w="5493" w:type="dxa"/>
            <w:vAlign w:val="center"/>
          </w:tcPr>
          <w:p>
            <w:pPr>
              <w:spacing w:line="400" w:lineRule="exact"/>
              <w:ind w:firstLine="420" w:firstLineChars="200"/>
              <w:rPr>
                <w:rFonts w:ascii="宋体" w:hAnsi="宋体"/>
                <w:kern w:val="0"/>
              </w:rPr>
            </w:pPr>
            <w:r>
              <w:rPr>
                <w:rFonts w:ascii="宋体" w:hAnsi="宋体"/>
                <w:kern w:val="0"/>
              </w:rPr>
              <w:t>符合第</w:t>
            </w:r>
            <w:r>
              <w:rPr>
                <w:rFonts w:hint="eastAsia" w:ascii="宋体" w:hAnsi="宋体"/>
                <w:kern w:val="0"/>
              </w:rPr>
              <w:t>二</w:t>
            </w:r>
            <w:r>
              <w:rPr>
                <w:rFonts w:ascii="宋体" w:hAnsi="宋体"/>
                <w:kern w:val="0"/>
              </w:rPr>
              <w:t>章“投标</w:t>
            </w:r>
            <w:r>
              <w:rPr>
                <w:rFonts w:hint="eastAsia" w:ascii="宋体" w:hAnsi="宋体"/>
                <w:kern w:val="0"/>
              </w:rPr>
              <w:t>人须知</w:t>
            </w:r>
            <w:r>
              <w:rPr>
                <w:rFonts w:ascii="宋体" w:hAnsi="宋体"/>
                <w:kern w:val="0"/>
              </w:rPr>
              <w:t>”</w:t>
            </w:r>
            <w:r>
              <w:rPr>
                <w:rFonts w:hint="eastAsia" w:ascii="宋体" w:hAnsi="宋体"/>
                <w:kern w:val="0"/>
              </w:rPr>
              <w:t>第3.7款</w:t>
            </w:r>
            <w:r>
              <w:rPr>
                <w:rFonts w:ascii="宋体" w:hAnsi="宋体"/>
                <w:kern w:val="0"/>
              </w:rPr>
              <w:t>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vAlign w:val="center"/>
          </w:tcPr>
          <w:p>
            <w:pPr>
              <w:spacing w:line="400" w:lineRule="exact"/>
              <w:jc w:val="left"/>
              <w:rPr>
                <w:rFonts w:ascii="宋体" w:hAnsi="宋体"/>
                <w:kern w:val="0"/>
              </w:rPr>
            </w:pPr>
            <w:r>
              <w:rPr>
                <w:rFonts w:hint="eastAsia" w:ascii="宋体" w:hAnsi="宋体" w:cs="宋体"/>
                <w:kern w:val="0"/>
              </w:rPr>
              <w:t>□</w:t>
            </w:r>
            <w:r>
              <w:rPr>
                <w:rFonts w:ascii="宋体" w:hAnsi="宋体"/>
                <w:kern w:val="0"/>
              </w:rPr>
              <w:t>联合体投标人</w:t>
            </w:r>
          </w:p>
        </w:tc>
        <w:tc>
          <w:tcPr>
            <w:tcW w:w="5493" w:type="dxa"/>
            <w:vAlign w:val="center"/>
          </w:tcPr>
          <w:p>
            <w:pPr>
              <w:spacing w:line="400" w:lineRule="exact"/>
              <w:ind w:firstLine="420" w:firstLineChars="200"/>
              <w:rPr>
                <w:rFonts w:ascii="宋体" w:hAnsi="宋体"/>
                <w:kern w:val="0"/>
              </w:rPr>
            </w:pPr>
            <w:r>
              <w:rPr>
                <w:rFonts w:ascii="宋体" w:hAnsi="宋体"/>
                <w:kern w:val="0"/>
              </w:rPr>
              <w:t>提交联合体协议书，并明确联合体牵头人</w:t>
            </w:r>
            <w:r>
              <w:rPr>
                <w:rFonts w:hint="eastAsia" w:ascii="宋体" w:hAnsi="宋体"/>
                <w:kern w:val="0"/>
              </w:rPr>
              <w:t>。在联合体协议书第5条联合体各成员单位内部的职责分工中填写的联合体所有成员单位名称应与其营业执照、资质证书、安全生产许可证一致，依法变更名称的应提交相应证明材料。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vAlign w:val="center"/>
          </w:tcPr>
          <w:p>
            <w:pPr>
              <w:spacing w:line="400" w:lineRule="exact"/>
              <w:jc w:val="left"/>
              <w:rPr>
                <w:rFonts w:ascii="宋体" w:hAnsi="宋体"/>
                <w:kern w:val="0"/>
              </w:rPr>
            </w:pPr>
            <w:r>
              <w:rPr>
                <w:rFonts w:ascii="宋体" w:hAnsi="宋体"/>
                <w:kern w:val="0"/>
              </w:rPr>
              <w:t>投标文件的签署</w:t>
            </w:r>
          </w:p>
        </w:tc>
        <w:tc>
          <w:tcPr>
            <w:tcW w:w="5493" w:type="dxa"/>
            <w:vAlign w:val="center"/>
          </w:tcPr>
          <w:p>
            <w:pPr>
              <w:spacing w:line="400" w:lineRule="exact"/>
              <w:ind w:firstLine="420" w:firstLineChars="200"/>
              <w:rPr>
                <w:rFonts w:ascii="宋体" w:hAnsi="宋体"/>
                <w:kern w:val="0"/>
              </w:rPr>
            </w:pPr>
            <w:r>
              <w:rPr>
                <w:rFonts w:hint="eastAsia" w:ascii="宋体" w:hAnsi="宋体"/>
                <w:kern w:val="0"/>
              </w:rPr>
              <w:t xml:space="preserve">第八章 </w:t>
            </w:r>
            <w:r>
              <w:rPr>
                <w:rFonts w:ascii="宋体" w:hAnsi="宋体"/>
                <w:kern w:val="0"/>
              </w:rPr>
              <w:t>投标文件</w:t>
            </w:r>
            <w:r>
              <w:rPr>
                <w:rFonts w:hint="eastAsia" w:ascii="宋体" w:hAnsi="宋体"/>
                <w:kern w:val="0"/>
              </w:rPr>
              <w:t>格式（不含投标函部分）要求</w:t>
            </w:r>
            <w:r>
              <w:rPr>
                <w:rFonts w:ascii="宋体" w:hAnsi="宋体"/>
                <w:kern w:val="0"/>
              </w:rPr>
              <w:t>法定代表人或其委托代理人</w:t>
            </w:r>
            <w:r>
              <w:rPr>
                <w:rFonts w:hint="eastAsia" w:ascii="宋体" w:hAnsi="宋体"/>
                <w:kern w:val="0"/>
              </w:rPr>
              <w:t>签名</w:t>
            </w:r>
            <w:r>
              <w:rPr>
                <w:rFonts w:ascii="宋体" w:hAnsi="宋体"/>
                <w:kern w:val="0"/>
              </w:rPr>
              <w:t>（或盖章）</w:t>
            </w:r>
            <w:r>
              <w:rPr>
                <w:rFonts w:hint="eastAsia" w:ascii="宋体" w:hAnsi="宋体"/>
                <w:kern w:val="0"/>
              </w:rPr>
              <w:t>的须</w:t>
            </w:r>
            <w:r>
              <w:rPr>
                <w:rFonts w:ascii="宋体" w:hAnsi="宋体"/>
                <w:kern w:val="0"/>
              </w:rPr>
              <w:t>齐全。</w:t>
            </w:r>
          </w:p>
          <w:p>
            <w:pPr>
              <w:autoSpaceDE w:val="0"/>
              <w:autoSpaceDN w:val="0"/>
              <w:adjustRightInd w:val="0"/>
              <w:snapToGrid w:val="0"/>
              <w:spacing w:line="400" w:lineRule="exact"/>
              <w:ind w:firstLine="420" w:firstLineChars="200"/>
              <w:rPr>
                <w:rFonts w:ascii="宋体" w:hAnsi="宋体"/>
                <w:kern w:val="0"/>
              </w:rPr>
            </w:pPr>
            <w:r>
              <w:rPr>
                <w:rFonts w:hint="eastAsia" w:ascii="宋体" w:hAnsi="宋体"/>
                <w:snapToGrid w:val="0"/>
                <w:kern w:val="0"/>
                <w:szCs w:val="21"/>
              </w:rPr>
              <w:t>若投标单位为联合体，则联合体协议书各联合体成员单位签名（或盖章）须齐全，联合体协议书以外的</w:t>
            </w:r>
            <w:r>
              <w:rPr>
                <w:rFonts w:ascii="宋体" w:hAnsi="宋体"/>
                <w:kern w:val="0"/>
              </w:rPr>
              <w:t>投标文件</w:t>
            </w:r>
            <w:r>
              <w:rPr>
                <w:rFonts w:hint="eastAsia" w:ascii="宋体" w:hAnsi="宋体"/>
                <w:kern w:val="0"/>
              </w:rPr>
              <w:t>格式中，要求法定代表人或其委托代理人签名（或盖章）的均由联合体牵头人法定代表人或其委托代理人签名（或盖章）</w:t>
            </w:r>
            <w:r>
              <w:rPr>
                <w:rFonts w:ascii="宋体" w:hAnsi="宋体"/>
                <w:kern w:val="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5" w:type="dxa"/>
            <w:vMerge w:val="continue"/>
            <w:tcBorders>
              <w:right w:val="single" w:color="auto" w:sz="4" w:space="0"/>
            </w:tcBorders>
          </w:tcPr>
          <w:p>
            <w:pPr>
              <w:spacing w:line="400" w:lineRule="exact"/>
              <w:jc w:val="center"/>
              <w:rPr>
                <w:rFonts w:ascii="宋体" w:hAnsi="宋体"/>
                <w:kern w:val="0"/>
              </w:rPr>
            </w:pPr>
          </w:p>
        </w:tc>
        <w:tc>
          <w:tcPr>
            <w:tcW w:w="567" w:type="dxa"/>
            <w:gridSpan w:val="2"/>
            <w:vMerge w:val="continue"/>
            <w:tcBorders>
              <w:right w:val="single" w:color="auto" w:sz="4" w:space="0"/>
            </w:tcBorders>
          </w:tcPr>
          <w:p>
            <w:pPr>
              <w:spacing w:line="400" w:lineRule="exact"/>
              <w:jc w:val="center"/>
              <w:rPr>
                <w:rFonts w:ascii="宋体" w:hAnsi="宋体"/>
                <w:kern w:val="0"/>
              </w:rPr>
            </w:pPr>
          </w:p>
        </w:tc>
        <w:tc>
          <w:tcPr>
            <w:tcW w:w="2560" w:type="dxa"/>
            <w:gridSpan w:val="3"/>
            <w:tcBorders>
              <w:left w:val="single" w:color="auto" w:sz="4" w:space="0"/>
            </w:tcBorders>
            <w:vAlign w:val="center"/>
          </w:tcPr>
          <w:p>
            <w:pPr>
              <w:spacing w:line="400" w:lineRule="exact"/>
              <w:jc w:val="left"/>
              <w:rPr>
                <w:rFonts w:ascii="宋体" w:hAnsi="宋体"/>
                <w:kern w:val="0"/>
              </w:rPr>
            </w:pPr>
            <w:r>
              <w:rPr>
                <w:rFonts w:ascii="宋体" w:hAnsi="宋体"/>
                <w:kern w:val="0"/>
              </w:rPr>
              <w:t>委托代理人</w:t>
            </w:r>
          </w:p>
        </w:tc>
        <w:tc>
          <w:tcPr>
            <w:tcW w:w="5493" w:type="dxa"/>
            <w:vAlign w:val="center"/>
          </w:tcPr>
          <w:p>
            <w:pPr>
              <w:spacing w:line="400" w:lineRule="exact"/>
              <w:ind w:firstLine="420" w:firstLineChars="200"/>
              <w:rPr>
                <w:rFonts w:ascii="宋体" w:hAnsi="宋体"/>
                <w:kern w:val="0"/>
              </w:rPr>
            </w:pPr>
            <w:r>
              <w:rPr>
                <w:rFonts w:ascii="宋体" w:hAnsi="宋体"/>
                <w:kern w:val="0"/>
              </w:rPr>
              <w:t>投标人法定代表人的委托代理人有法定代表人签署的授权委托书</w:t>
            </w:r>
            <w:r>
              <w:rPr>
                <w:rFonts w:hint="eastAsia" w:ascii="宋体" w:hAnsi="宋体"/>
                <w:kern w:val="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restart"/>
            <w:vAlign w:val="center"/>
          </w:tcPr>
          <w:p>
            <w:pPr>
              <w:spacing w:line="400" w:lineRule="exact"/>
              <w:jc w:val="center"/>
              <w:rPr>
                <w:rFonts w:ascii="宋体" w:hAnsi="宋体"/>
                <w:kern w:val="0"/>
              </w:rPr>
            </w:pPr>
            <w:r>
              <w:rPr>
                <w:rFonts w:ascii="宋体" w:hAnsi="宋体"/>
                <w:kern w:val="0"/>
              </w:rPr>
              <w:t>2.1.</w:t>
            </w:r>
            <w:r>
              <w:rPr>
                <w:rFonts w:hint="eastAsia" w:ascii="宋体" w:hAnsi="宋体"/>
                <w:kern w:val="0"/>
              </w:rPr>
              <w:t>3</w:t>
            </w:r>
          </w:p>
        </w:tc>
        <w:tc>
          <w:tcPr>
            <w:tcW w:w="567" w:type="dxa"/>
            <w:gridSpan w:val="2"/>
            <w:vMerge w:val="restart"/>
            <w:vAlign w:val="center"/>
          </w:tcPr>
          <w:p>
            <w:pPr>
              <w:spacing w:line="400" w:lineRule="exact"/>
              <w:jc w:val="center"/>
              <w:rPr>
                <w:rFonts w:ascii="宋体" w:hAnsi="宋体"/>
                <w:kern w:val="0"/>
              </w:rPr>
            </w:pPr>
            <w:r>
              <w:rPr>
                <w:rFonts w:hint="eastAsia" w:ascii="宋体" w:hAnsi="宋体"/>
                <w:kern w:val="0"/>
              </w:rPr>
              <w:t>响应性</w:t>
            </w:r>
            <w:r>
              <w:rPr>
                <w:rFonts w:ascii="宋体" w:hAnsi="宋体"/>
                <w:kern w:val="0"/>
              </w:rPr>
              <w:t>评审标准</w:t>
            </w:r>
          </w:p>
        </w:tc>
        <w:tc>
          <w:tcPr>
            <w:tcW w:w="2560" w:type="dxa"/>
            <w:gridSpan w:val="3"/>
            <w:vAlign w:val="center"/>
          </w:tcPr>
          <w:p>
            <w:pPr>
              <w:spacing w:line="400" w:lineRule="exact"/>
              <w:jc w:val="left"/>
              <w:rPr>
                <w:rFonts w:ascii="宋体" w:hAnsi="宋体"/>
                <w:kern w:val="0"/>
              </w:rPr>
            </w:pPr>
            <w:r>
              <w:rPr>
                <w:rFonts w:ascii="宋体" w:hAnsi="宋体"/>
                <w:kern w:val="0"/>
              </w:rPr>
              <w:t>投标内容</w:t>
            </w:r>
          </w:p>
        </w:tc>
        <w:tc>
          <w:tcPr>
            <w:tcW w:w="5493" w:type="dxa"/>
            <w:vAlign w:val="center"/>
          </w:tcPr>
          <w:p>
            <w:pPr>
              <w:spacing w:line="400" w:lineRule="exact"/>
              <w:ind w:firstLine="420" w:firstLineChars="200"/>
              <w:jc w:val="left"/>
              <w:rPr>
                <w:rFonts w:ascii="宋体" w:hAnsi="宋体"/>
                <w:kern w:val="0"/>
              </w:rPr>
            </w:pPr>
            <w:r>
              <w:rPr>
                <w:rFonts w:ascii="宋体" w:hAnsi="宋体"/>
                <w:kern w:val="0"/>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vAlign w:val="center"/>
          </w:tcPr>
          <w:p>
            <w:pPr>
              <w:spacing w:line="400" w:lineRule="exact"/>
              <w:jc w:val="center"/>
              <w:rPr>
                <w:rFonts w:ascii="宋体" w:hAnsi="宋体"/>
                <w:kern w:val="0"/>
              </w:rPr>
            </w:pPr>
          </w:p>
        </w:tc>
        <w:tc>
          <w:tcPr>
            <w:tcW w:w="567" w:type="dxa"/>
            <w:gridSpan w:val="2"/>
            <w:vMerge w:val="continue"/>
            <w:textDirection w:val="tbRlV"/>
            <w:vAlign w:val="center"/>
          </w:tcPr>
          <w:p>
            <w:pPr>
              <w:spacing w:line="400" w:lineRule="exact"/>
              <w:jc w:val="center"/>
              <w:rPr>
                <w:rFonts w:ascii="宋体" w:hAnsi="宋体"/>
                <w:kern w:val="0"/>
              </w:rPr>
            </w:pPr>
          </w:p>
        </w:tc>
        <w:tc>
          <w:tcPr>
            <w:tcW w:w="2560" w:type="dxa"/>
            <w:gridSpan w:val="3"/>
            <w:tcBorders>
              <w:top w:val="single" w:color="auto" w:sz="4" w:space="0"/>
            </w:tcBorders>
            <w:vAlign w:val="center"/>
          </w:tcPr>
          <w:p>
            <w:pPr>
              <w:spacing w:line="400" w:lineRule="exact"/>
              <w:jc w:val="left"/>
              <w:rPr>
                <w:rFonts w:ascii="宋体" w:hAnsi="宋体"/>
                <w:kern w:val="0"/>
              </w:rPr>
            </w:pPr>
            <w:r>
              <w:rPr>
                <w:rFonts w:ascii="宋体" w:hAnsi="宋体"/>
                <w:kern w:val="0"/>
              </w:rPr>
              <w:t>投标保证金</w:t>
            </w:r>
          </w:p>
        </w:tc>
        <w:tc>
          <w:tcPr>
            <w:tcW w:w="5493" w:type="dxa"/>
            <w:vAlign w:val="center"/>
          </w:tcPr>
          <w:p>
            <w:pPr>
              <w:tabs>
                <w:tab w:val="left" w:pos="601"/>
                <w:tab w:val="left" w:pos="669"/>
              </w:tabs>
              <w:snapToGrid w:val="0"/>
              <w:spacing w:line="400" w:lineRule="exact"/>
              <w:ind w:firstLine="420" w:firstLineChars="200"/>
              <w:rPr>
                <w:rFonts w:ascii="宋体" w:hAnsi="宋体"/>
                <w:kern w:val="0"/>
              </w:rPr>
            </w:pPr>
            <w:r>
              <w:rPr>
                <w:rFonts w:ascii="宋体" w:hAnsi="宋体"/>
                <w:kern w:val="0"/>
                <w:szCs w:val="21"/>
              </w:rPr>
              <w:t>符合第二章投标人须知前附表第3.4</w:t>
            </w:r>
            <w:r>
              <w:rPr>
                <w:rFonts w:hint="eastAsia" w:ascii="宋体" w:hAnsi="宋体"/>
                <w:kern w:val="0"/>
                <w:szCs w:val="21"/>
              </w:rPr>
              <w:t>款</w:t>
            </w:r>
            <w:r>
              <w:rPr>
                <w:rFonts w:ascii="宋体" w:hAnsi="宋体"/>
                <w:kern w:val="0"/>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pPr>
              <w:spacing w:line="400" w:lineRule="exact"/>
              <w:jc w:val="center"/>
              <w:rPr>
                <w:rFonts w:ascii="宋体" w:hAnsi="宋体"/>
              </w:rPr>
            </w:pPr>
          </w:p>
        </w:tc>
        <w:tc>
          <w:tcPr>
            <w:tcW w:w="567" w:type="dxa"/>
            <w:gridSpan w:val="2"/>
            <w:vMerge w:val="continue"/>
          </w:tcPr>
          <w:p>
            <w:pPr>
              <w:spacing w:line="400" w:lineRule="exact"/>
              <w:jc w:val="center"/>
              <w:rPr>
                <w:rFonts w:ascii="宋体" w:hAnsi="宋体"/>
              </w:rPr>
            </w:pPr>
          </w:p>
        </w:tc>
        <w:tc>
          <w:tcPr>
            <w:tcW w:w="2560" w:type="dxa"/>
            <w:gridSpan w:val="3"/>
            <w:vAlign w:val="center"/>
          </w:tcPr>
          <w:p>
            <w:pPr>
              <w:spacing w:line="400" w:lineRule="exact"/>
              <w:jc w:val="left"/>
              <w:rPr>
                <w:rFonts w:ascii="宋体" w:hAnsi="宋体"/>
                <w:kern w:val="0"/>
              </w:rPr>
            </w:pPr>
            <w:r>
              <w:rPr>
                <w:rFonts w:ascii="宋体" w:hAnsi="宋体"/>
                <w:kern w:val="0"/>
              </w:rPr>
              <w:t>权利义务</w:t>
            </w:r>
          </w:p>
        </w:tc>
        <w:tc>
          <w:tcPr>
            <w:tcW w:w="5493" w:type="dxa"/>
            <w:vAlign w:val="center"/>
          </w:tcPr>
          <w:p>
            <w:pPr>
              <w:spacing w:after="62" w:afterLines="20" w:line="400" w:lineRule="exact"/>
              <w:ind w:firstLine="420" w:firstLineChars="200"/>
              <w:rPr>
                <w:rFonts w:ascii="宋体" w:hAnsi="宋体"/>
                <w:kern w:val="0"/>
              </w:rPr>
            </w:pPr>
            <w:r>
              <w:rPr>
                <w:rFonts w:ascii="宋体" w:hAnsi="宋体"/>
                <w:kern w:val="0"/>
              </w:rPr>
              <w:t>符合第四章“合同条款及格式”规定，投标文件不应附有招标人不能接受的条件。</w:t>
            </w:r>
            <w:r>
              <w:rPr>
                <w:rFonts w:hint="eastAsia" w:ascii="宋体" w:hAnsi="宋体"/>
                <w:kern w:val="0"/>
              </w:rPr>
              <w:t>（由投标人承诺，承诺书格式详见第八章投标文件格式。）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pPr>
              <w:spacing w:line="400" w:lineRule="exact"/>
              <w:jc w:val="center"/>
              <w:rPr>
                <w:rFonts w:ascii="宋体" w:hAnsi="宋体"/>
              </w:rPr>
            </w:pPr>
          </w:p>
        </w:tc>
        <w:tc>
          <w:tcPr>
            <w:tcW w:w="567" w:type="dxa"/>
            <w:gridSpan w:val="2"/>
            <w:vMerge w:val="continue"/>
          </w:tcPr>
          <w:p>
            <w:pPr>
              <w:spacing w:line="400" w:lineRule="exact"/>
              <w:jc w:val="center"/>
              <w:rPr>
                <w:rFonts w:ascii="宋体" w:hAnsi="宋体"/>
              </w:rPr>
            </w:pPr>
          </w:p>
        </w:tc>
        <w:tc>
          <w:tcPr>
            <w:tcW w:w="2560" w:type="dxa"/>
            <w:gridSpan w:val="3"/>
            <w:vAlign w:val="center"/>
          </w:tcPr>
          <w:p>
            <w:pPr>
              <w:spacing w:line="400" w:lineRule="exact"/>
              <w:jc w:val="left"/>
              <w:rPr>
                <w:rFonts w:ascii="宋体" w:hAnsi="宋体"/>
                <w:kern w:val="0"/>
              </w:rPr>
            </w:pPr>
            <w:r>
              <w:rPr>
                <w:rFonts w:hint="eastAsia" w:ascii="宋体" w:hAnsi="宋体"/>
                <w:kern w:val="0"/>
                <w:lang w:eastAsia="zh-CN"/>
              </w:rPr>
              <w:t>☑</w:t>
            </w:r>
            <w:r>
              <w:rPr>
                <w:rFonts w:ascii="宋体" w:hAnsi="宋体"/>
                <w:kern w:val="0"/>
              </w:rPr>
              <w:t>技术标准和要求</w:t>
            </w:r>
          </w:p>
        </w:tc>
        <w:tc>
          <w:tcPr>
            <w:tcW w:w="5493" w:type="dxa"/>
            <w:vAlign w:val="center"/>
          </w:tcPr>
          <w:p>
            <w:pPr>
              <w:spacing w:line="400" w:lineRule="exact"/>
              <w:ind w:firstLine="420" w:firstLineChars="200"/>
              <w:rPr>
                <w:rFonts w:ascii="宋体" w:hAnsi="宋体"/>
                <w:kern w:val="0"/>
              </w:rPr>
            </w:pPr>
            <w:r>
              <w:rPr>
                <w:rFonts w:ascii="宋体" w:hAnsi="宋体"/>
                <w:kern w:val="0"/>
              </w:rPr>
              <w:t>符合第七章“技术标准和要求”规定</w:t>
            </w:r>
            <w:r>
              <w:rPr>
                <w:rFonts w:hint="eastAsia" w:ascii="宋体" w:hAnsi="宋体"/>
                <w:kern w:val="0"/>
              </w:rPr>
              <w:t>。（由投标人承诺，承诺书格式详见第八章投标文件格式。）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Merge w:val="continue"/>
          </w:tcPr>
          <w:p>
            <w:pPr>
              <w:spacing w:line="400" w:lineRule="exact"/>
              <w:rPr>
                <w:rFonts w:ascii="宋体" w:hAnsi="宋体"/>
              </w:rPr>
            </w:pPr>
          </w:p>
        </w:tc>
        <w:tc>
          <w:tcPr>
            <w:tcW w:w="567" w:type="dxa"/>
            <w:gridSpan w:val="2"/>
            <w:vMerge w:val="continue"/>
          </w:tcPr>
          <w:p>
            <w:pPr>
              <w:spacing w:line="400" w:lineRule="exact"/>
              <w:rPr>
                <w:rFonts w:ascii="宋体" w:hAnsi="宋体"/>
              </w:rPr>
            </w:pPr>
          </w:p>
        </w:tc>
        <w:tc>
          <w:tcPr>
            <w:tcW w:w="2560" w:type="dxa"/>
            <w:gridSpan w:val="3"/>
            <w:vAlign w:val="center"/>
          </w:tcPr>
          <w:p>
            <w:pPr>
              <w:spacing w:line="400" w:lineRule="exact"/>
              <w:jc w:val="left"/>
              <w:rPr>
                <w:rFonts w:ascii="宋体" w:hAnsi="宋体"/>
                <w:kern w:val="0"/>
              </w:rPr>
            </w:pPr>
            <w:r>
              <w:rPr>
                <w:rFonts w:ascii="宋体" w:hAnsi="宋体"/>
                <w:kern w:val="0"/>
              </w:rPr>
              <w:t>实质性要求</w:t>
            </w:r>
          </w:p>
        </w:tc>
        <w:tc>
          <w:tcPr>
            <w:tcW w:w="5493" w:type="dxa"/>
            <w:vAlign w:val="center"/>
          </w:tcPr>
          <w:p>
            <w:pPr>
              <w:spacing w:after="62" w:afterLines="20" w:line="400" w:lineRule="exact"/>
              <w:ind w:firstLine="420" w:firstLineChars="200"/>
              <w:rPr>
                <w:rFonts w:ascii="宋体" w:hAnsi="宋体"/>
                <w:kern w:val="0"/>
              </w:rPr>
            </w:pPr>
            <w:r>
              <w:rPr>
                <w:rFonts w:hint="eastAsia" w:ascii="宋体" w:hAnsi="宋体"/>
                <w:kern w:val="0"/>
              </w:rPr>
              <w:t>符合第二章“投标人须知”第1.4.3项规定。</w:t>
            </w:r>
          </w:p>
          <w:p>
            <w:pPr>
              <w:spacing w:after="62" w:afterLines="20" w:line="400" w:lineRule="exact"/>
              <w:ind w:firstLine="420" w:firstLineChars="200"/>
              <w:rPr>
                <w:rFonts w:ascii="宋体" w:hAnsi="宋体"/>
                <w:kern w:val="0"/>
              </w:rPr>
            </w:pPr>
            <w:r>
              <w:rPr>
                <w:rFonts w:hint="eastAsia" w:ascii="宋体" w:hAnsi="宋体"/>
                <w:kern w:val="0"/>
              </w:rPr>
              <w:t>本次投标不得有串通投标</w:t>
            </w:r>
            <w:r>
              <w:rPr>
                <w:rFonts w:ascii="宋体" w:hAnsi="宋体"/>
                <w:kern w:val="0"/>
              </w:rPr>
              <w:t>、弄虚作假等其他违反招投标相关法律、法规行为。</w:t>
            </w:r>
          </w:p>
          <w:p>
            <w:pPr>
              <w:spacing w:after="62" w:afterLines="20" w:line="400" w:lineRule="exact"/>
              <w:ind w:firstLine="420" w:firstLineChars="200"/>
              <w:rPr>
                <w:rFonts w:ascii="宋体" w:hAnsi="宋体"/>
                <w:kern w:val="0"/>
              </w:rPr>
            </w:pPr>
            <w:r>
              <w:rPr>
                <w:rFonts w:hint="eastAsia" w:ascii="宋体" w:hAnsi="宋体"/>
                <w:kern w:val="0"/>
              </w:rPr>
              <w:t>按评标委员会要求澄清、说明或补正。</w:t>
            </w:r>
          </w:p>
        </w:tc>
      </w:tr>
      <w:bookmarkEnd w:id="399"/>
      <w:bookmarkEnd w:id="400"/>
      <w:bookmarkEnd w:id="401"/>
      <w:bookmarkEnd w:id="402"/>
      <w:bookmarkEnd w:id="403"/>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22" w:type="dxa"/>
            <w:gridSpan w:val="3"/>
            <w:vAlign w:val="center"/>
          </w:tcPr>
          <w:p>
            <w:pPr>
              <w:spacing w:line="400" w:lineRule="exact"/>
              <w:ind w:firstLine="210" w:firstLineChars="100"/>
              <w:jc w:val="center"/>
              <w:rPr>
                <w:rFonts w:ascii="宋体" w:hAnsi="宋体"/>
                <w:kern w:val="0"/>
              </w:rPr>
            </w:pPr>
            <w:r>
              <w:rPr>
                <w:rFonts w:ascii="宋体" w:hAnsi="宋体"/>
                <w:kern w:val="0"/>
              </w:rPr>
              <w:t>2.2.1</w:t>
            </w:r>
          </w:p>
        </w:tc>
        <w:tc>
          <w:tcPr>
            <w:tcW w:w="2560" w:type="dxa"/>
            <w:gridSpan w:val="3"/>
            <w:vAlign w:val="center"/>
          </w:tcPr>
          <w:p>
            <w:pPr>
              <w:tabs>
                <w:tab w:val="left" w:pos="1875"/>
              </w:tabs>
              <w:spacing w:line="400" w:lineRule="exact"/>
              <w:jc w:val="center"/>
              <w:rPr>
                <w:rFonts w:ascii="宋体" w:hAnsi="宋体"/>
                <w:kern w:val="0"/>
              </w:rPr>
            </w:pPr>
            <w:r>
              <w:rPr>
                <w:rFonts w:ascii="宋体" w:hAnsi="宋体"/>
                <w:kern w:val="0"/>
              </w:rPr>
              <w:t>分值构成 （总分1</w:t>
            </w:r>
            <w:r>
              <w:rPr>
                <w:rFonts w:hint="eastAsia" w:ascii="宋体" w:hAnsi="宋体"/>
                <w:kern w:val="0"/>
              </w:rPr>
              <w:t>00</w:t>
            </w:r>
            <w:r>
              <w:rPr>
                <w:rFonts w:ascii="宋体" w:hAnsi="宋体"/>
                <w:kern w:val="0"/>
              </w:rPr>
              <w:t>分）</w:t>
            </w:r>
          </w:p>
        </w:tc>
        <w:tc>
          <w:tcPr>
            <w:tcW w:w="5493" w:type="dxa"/>
            <w:vAlign w:val="center"/>
          </w:tcPr>
          <w:p>
            <w:pPr>
              <w:snapToGrid w:val="0"/>
              <w:spacing w:line="400" w:lineRule="exact"/>
              <w:ind w:firstLine="420" w:firstLineChars="200"/>
              <w:rPr>
                <w:rFonts w:ascii="宋体" w:hAnsi="宋体"/>
                <w:kern w:val="0"/>
              </w:rPr>
            </w:pPr>
            <w:r>
              <w:rPr>
                <w:rFonts w:hint="eastAsia" w:ascii="宋体" w:hAnsi="宋体"/>
                <w:kern w:val="0"/>
              </w:rPr>
              <w:t>1</w:t>
            </w:r>
            <w:r>
              <w:rPr>
                <w:rFonts w:ascii="宋体" w:hAnsi="宋体"/>
                <w:kern w:val="0"/>
              </w:rPr>
              <w:t>.</w:t>
            </w:r>
            <w:r>
              <w:rPr>
                <w:rFonts w:hint="eastAsia" w:ascii="宋体" w:hAnsi="宋体"/>
                <w:kern w:val="0"/>
              </w:rPr>
              <w:t xml:space="preserve">技术部分 </w:t>
            </w:r>
            <w:r>
              <w:rPr>
                <w:rFonts w:ascii="宋体" w:hAnsi="宋体"/>
                <w:kern w:val="0"/>
                <w:u w:val="single"/>
              </w:rPr>
              <w:t>　</w:t>
            </w:r>
            <w:r>
              <w:rPr>
                <w:rFonts w:hint="eastAsia" w:ascii="宋体" w:hAnsi="宋体"/>
                <w:kern w:val="0"/>
                <w:u w:val="single"/>
              </w:rPr>
              <w:t xml:space="preserve"> </w:t>
            </w:r>
            <w:r>
              <w:rPr>
                <w:rFonts w:hint="eastAsia" w:ascii="宋体" w:hAnsi="宋体"/>
                <w:kern w:val="0"/>
                <w:u w:val="single"/>
                <w:lang w:val="en-US" w:eastAsia="zh-CN"/>
              </w:rPr>
              <w:t>40</w:t>
            </w:r>
            <w:r>
              <w:rPr>
                <w:rFonts w:hint="eastAsia" w:ascii="宋体" w:hAnsi="宋体"/>
                <w:kern w:val="0"/>
                <w:u w:val="single"/>
              </w:rPr>
              <w:t xml:space="preserve"> </w:t>
            </w:r>
            <w:r>
              <w:rPr>
                <w:rFonts w:ascii="宋体" w:hAnsi="宋体"/>
                <w:kern w:val="0"/>
                <w:u w:val="single"/>
              </w:rPr>
              <w:t>　</w:t>
            </w:r>
            <w:r>
              <w:rPr>
                <w:rFonts w:ascii="宋体" w:hAnsi="宋体"/>
                <w:kern w:val="0"/>
              </w:rPr>
              <w:t>分</w:t>
            </w:r>
            <w:r>
              <w:rPr>
                <w:rFonts w:hint="eastAsia" w:ascii="宋体" w:hAnsi="宋体"/>
                <w:kern w:val="0"/>
              </w:rPr>
              <w:t>；</w:t>
            </w:r>
          </w:p>
          <w:p>
            <w:pPr>
              <w:snapToGrid w:val="0"/>
              <w:spacing w:line="400" w:lineRule="exact"/>
              <w:ind w:firstLine="420" w:firstLineChars="200"/>
              <w:rPr>
                <w:rFonts w:ascii="宋体" w:hAnsi="宋体"/>
                <w:i/>
                <w:kern w:val="0"/>
              </w:rPr>
            </w:pPr>
            <w:r>
              <w:rPr>
                <w:rFonts w:hint="eastAsia" w:ascii="宋体" w:hAnsi="宋体"/>
                <w:kern w:val="0"/>
              </w:rPr>
              <w:t>2.投标报价</w:t>
            </w:r>
            <w:r>
              <w:rPr>
                <w:rFonts w:hint="eastAsia" w:ascii="宋体" w:hAnsi="宋体"/>
                <w:kern w:val="0"/>
                <w:u w:val="single"/>
              </w:rPr>
              <w:t xml:space="preserve">  </w:t>
            </w:r>
            <w:r>
              <w:rPr>
                <w:rFonts w:hint="eastAsia" w:ascii="宋体" w:hAnsi="宋体"/>
                <w:kern w:val="0"/>
                <w:u w:val="single"/>
                <w:lang w:val="en-US" w:eastAsia="zh-CN"/>
              </w:rPr>
              <w:t xml:space="preserve"> </w:t>
            </w:r>
            <w:r>
              <w:rPr>
                <w:rFonts w:hint="eastAsia" w:ascii="宋体" w:hAnsi="宋体"/>
                <w:kern w:val="0"/>
                <w:u w:val="single"/>
              </w:rPr>
              <w:t xml:space="preserve"> </w:t>
            </w:r>
            <w:r>
              <w:rPr>
                <w:rFonts w:hint="eastAsia" w:ascii="宋体" w:hAnsi="宋体"/>
                <w:kern w:val="0"/>
                <w:u w:val="single"/>
                <w:lang w:val="en-US" w:eastAsia="zh-CN"/>
              </w:rPr>
              <w:t>60</w:t>
            </w:r>
            <w:r>
              <w:rPr>
                <w:rFonts w:hint="eastAsia" w:ascii="宋体" w:hAnsi="宋体"/>
                <w:kern w:val="0"/>
                <w:u w:val="single"/>
              </w:rPr>
              <w:t xml:space="preserve">   </w:t>
            </w:r>
            <w:r>
              <w:rPr>
                <w:rFonts w:hint="eastAsia" w:ascii="宋体" w:hAnsi="宋体"/>
                <w:kern w:val="0"/>
              </w:rPr>
              <w:t>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887" w:type="dxa"/>
            <w:gridSpan w:val="2"/>
            <w:vMerge w:val="restart"/>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2.2.2（1）</w:t>
            </w:r>
          </w:p>
        </w:tc>
        <w:tc>
          <w:tcPr>
            <w:tcW w:w="535"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技术部分评分标准</w:t>
            </w:r>
          </w:p>
        </w:tc>
        <w:tc>
          <w:tcPr>
            <w:tcW w:w="850" w:type="dxa"/>
            <w:vMerge w:val="restart"/>
            <w:tcBorders>
              <w:right w:val="single" w:color="auto" w:sz="4" w:space="0"/>
            </w:tcBorders>
            <w:vAlign w:val="center"/>
          </w:tcPr>
          <w:p>
            <w:pPr>
              <w:tabs>
                <w:tab w:val="left" w:pos="1875"/>
              </w:tabs>
              <w:spacing w:line="400" w:lineRule="exact"/>
              <w:jc w:val="center"/>
              <w:rPr>
                <w:rFonts w:ascii="宋体" w:hAnsi="宋体"/>
                <w:kern w:val="0"/>
              </w:rPr>
            </w:pPr>
            <w:r>
              <w:rPr>
                <w:rFonts w:ascii="宋体" w:hAnsi="宋体"/>
                <w:kern w:val="0"/>
              </w:rPr>
              <w:t>技</w:t>
            </w:r>
          </w:p>
          <w:p>
            <w:pPr>
              <w:tabs>
                <w:tab w:val="left" w:pos="1875"/>
              </w:tabs>
              <w:spacing w:line="400" w:lineRule="exact"/>
              <w:jc w:val="center"/>
              <w:rPr>
                <w:rFonts w:ascii="宋体" w:hAnsi="宋体"/>
                <w:kern w:val="0"/>
              </w:rPr>
            </w:pPr>
            <w:r>
              <w:rPr>
                <w:rFonts w:ascii="宋体" w:hAnsi="宋体"/>
                <w:kern w:val="0"/>
              </w:rPr>
              <w:t>术</w:t>
            </w:r>
          </w:p>
          <w:p>
            <w:pPr>
              <w:tabs>
                <w:tab w:val="left" w:pos="1875"/>
              </w:tabs>
              <w:spacing w:line="400" w:lineRule="exact"/>
              <w:jc w:val="center"/>
              <w:rPr>
                <w:rFonts w:ascii="宋体" w:hAnsi="宋体"/>
                <w:kern w:val="0"/>
              </w:rPr>
            </w:pPr>
            <w:r>
              <w:rPr>
                <w:rFonts w:ascii="宋体" w:hAnsi="宋体"/>
                <w:kern w:val="0"/>
              </w:rPr>
              <w:t>方</w:t>
            </w:r>
          </w:p>
          <w:p>
            <w:pPr>
              <w:tabs>
                <w:tab w:val="left" w:pos="1875"/>
              </w:tabs>
              <w:spacing w:line="400" w:lineRule="exact"/>
              <w:jc w:val="center"/>
              <w:rPr>
                <w:rFonts w:ascii="宋体" w:hAnsi="宋体"/>
                <w:kern w:val="0"/>
              </w:rPr>
            </w:pPr>
            <w:r>
              <w:rPr>
                <w:rFonts w:ascii="宋体" w:hAnsi="宋体"/>
                <w:kern w:val="0"/>
              </w:rPr>
              <w:t>案</w:t>
            </w:r>
          </w:p>
          <w:p>
            <w:pPr>
              <w:tabs>
                <w:tab w:val="left" w:pos="1875"/>
              </w:tabs>
              <w:spacing w:line="400" w:lineRule="exact"/>
              <w:jc w:val="center"/>
              <w:rPr>
                <w:rFonts w:ascii="宋体" w:hAnsi="宋体"/>
                <w:kern w:val="0"/>
              </w:rPr>
            </w:pPr>
            <w:r>
              <w:rPr>
                <w:rFonts w:ascii="宋体" w:hAnsi="宋体"/>
                <w:kern w:val="0"/>
              </w:rPr>
              <w:t>评</w:t>
            </w:r>
          </w:p>
          <w:p>
            <w:pPr>
              <w:tabs>
                <w:tab w:val="left" w:pos="1875"/>
              </w:tabs>
              <w:spacing w:line="400" w:lineRule="exact"/>
              <w:jc w:val="center"/>
              <w:rPr>
                <w:rFonts w:ascii="宋体" w:hAnsi="宋体"/>
                <w:kern w:val="0"/>
              </w:rPr>
            </w:pPr>
            <w:r>
              <w:rPr>
                <w:rFonts w:ascii="宋体" w:hAnsi="宋体"/>
                <w:kern w:val="0"/>
              </w:rPr>
              <w:t>审</w:t>
            </w:r>
          </w:p>
        </w:tc>
        <w:tc>
          <w:tcPr>
            <w:tcW w:w="1710" w:type="dxa"/>
            <w:gridSpan w:val="2"/>
            <w:tcBorders>
              <w:left w:val="single" w:color="auto" w:sz="4" w:space="0"/>
            </w:tcBorders>
            <w:vAlign w:val="center"/>
          </w:tcPr>
          <w:p>
            <w:pPr>
              <w:tabs>
                <w:tab w:val="left" w:pos="1875"/>
              </w:tabs>
              <w:spacing w:line="400" w:lineRule="exact"/>
              <w:rPr>
                <w:rFonts w:hint="eastAsia" w:ascii="宋体" w:hAnsi="宋体" w:eastAsia="宋体"/>
                <w:kern w:val="0"/>
                <w:lang w:eastAsia="zh-CN"/>
              </w:rPr>
            </w:pPr>
            <w:r>
              <w:rPr>
                <w:rFonts w:hint="eastAsia"/>
                <w:lang w:eastAsia="zh-CN"/>
              </w:rPr>
              <w:t>服务方案</w:t>
            </w:r>
          </w:p>
        </w:tc>
        <w:tc>
          <w:tcPr>
            <w:tcW w:w="5493" w:type="dxa"/>
            <w:vAlign w:val="center"/>
          </w:tcPr>
          <w:p>
            <w:pPr>
              <w:snapToGrid w:val="0"/>
              <w:spacing w:line="400" w:lineRule="exact"/>
              <w:ind w:firstLine="420" w:firstLineChars="200"/>
              <w:rPr>
                <w:rFonts w:ascii="宋体" w:hAnsi="宋体"/>
                <w:u w:val="single"/>
              </w:rPr>
            </w:pP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分，未提供0分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887" w:type="dxa"/>
            <w:gridSpan w:val="2"/>
            <w:vMerge w:val="continue"/>
            <w:tcBorders>
              <w:right w:val="single" w:color="auto" w:sz="4" w:space="0"/>
            </w:tcBorders>
            <w:vAlign w:val="center"/>
          </w:tcPr>
          <w:p>
            <w:pPr>
              <w:spacing w:line="400" w:lineRule="exact"/>
              <w:jc w:val="center"/>
              <w:rPr>
                <w:rFonts w:ascii="宋体" w:hAnsi="宋体"/>
                <w:kern w:val="0"/>
              </w:rPr>
            </w:pPr>
          </w:p>
        </w:tc>
        <w:tc>
          <w:tcPr>
            <w:tcW w:w="535" w:type="dxa"/>
            <w:vMerge w:val="continue"/>
            <w:tcBorders>
              <w:left w:val="single" w:color="auto" w:sz="4" w:space="0"/>
            </w:tcBorders>
            <w:vAlign w:val="center"/>
          </w:tcPr>
          <w:p>
            <w:pPr>
              <w:spacing w:line="400" w:lineRule="exact"/>
              <w:jc w:val="center"/>
              <w:rPr>
                <w:rFonts w:ascii="宋体" w:hAnsi="宋体"/>
                <w:kern w:val="0"/>
              </w:rPr>
            </w:pPr>
          </w:p>
        </w:tc>
        <w:tc>
          <w:tcPr>
            <w:tcW w:w="850" w:type="dxa"/>
            <w:vMerge w:val="continue"/>
            <w:tcBorders>
              <w:right w:val="single" w:color="auto" w:sz="4" w:space="0"/>
            </w:tcBorders>
            <w:vAlign w:val="center"/>
          </w:tcPr>
          <w:p>
            <w:pPr>
              <w:tabs>
                <w:tab w:val="left" w:pos="1875"/>
              </w:tabs>
              <w:spacing w:line="400" w:lineRule="exact"/>
              <w:jc w:val="center"/>
              <w:rPr>
                <w:rFonts w:ascii="宋体" w:hAnsi="宋体"/>
                <w:kern w:val="0"/>
              </w:rPr>
            </w:pPr>
          </w:p>
        </w:tc>
        <w:tc>
          <w:tcPr>
            <w:tcW w:w="1710" w:type="dxa"/>
            <w:gridSpan w:val="2"/>
            <w:tcBorders>
              <w:left w:val="single" w:color="auto" w:sz="4" w:space="0"/>
            </w:tcBorders>
            <w:vAlign w:val="center"/>
          </w:tcPr>
          <w:p>
            <w:pPr>
              <w:tabs>
                <w:tab w:val="left" w:pos="1875"/>
              </w:tabs>
              <w:spacing w:line="400" w:lineRule="exact"/>
              <w:rPr>
                <w:rFonts w:hint="eastAsia" w:ascii="宋体" w:hAnsi="宋体" w:eastAsia="宋体"/>
                <w:kern w:val="0"/>
                <w:lang w:val="en-US" w:eastAsia="zh-CN"/>
              </w:rPr>
            </w:pPr>
            <w:r>
              <w:rPr>
                <w:rFonts w:hint="eastAsia" w:ascii="宋体" w:hAnsi="宋体"/>
                <w:kern w:val="0"/>
                <w:lang w:val="en-US" w:eastAsia="zh-CN"/>
              </w:rPr>
              <w:t>管理制度</w:t>
            </w:r>
          </w:p>
        </w:tc>
        <w:tc>
          <w:tcPr>
            <w:tcW w:w="5493" w:type="dxa"/>
            <w:vAlign w:val="center"/>
          </w:tcPr>
          <w:p>
            <w:pPr>
              <w:snapToGrid w:val="0"/>
              <w:spacing w:line="400" w:lineRule="exact"/>
              <w:ind w:firstLine="420" w:firstLineChars="200"/>
              <w:rPr>
                <w:rFonts w:ascii="宋体" w:hAnsi="宋体"/>
                <w:u w:val="single"/>
              </w:rPr>
            </w:pPr>
            <w:r>
              <w:rPr>
                <w:rFonts w:hint="eastAsia" w:ascii="宋体" w:hAnsi="宋体" w:cs="宋体"/>
                <w:color w:val="auto"/>
                <w:kern w:val="0"/>
                <w:highlight w:val="none"/>
              </w:rPr>
              <w:t>优</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分，良</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分，一般</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分，差</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分，未提供0分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72" w:hRule="atLeast"/>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hAnsi="宋体"/>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850" w:type="dxa"/>
            <w:vMerge w:val="continue"/>
            <w:tcBorders>
              <w:right w:val="single" w:color="auto" w:sz="4" w:space="0"/>
            </w:tcBorders>
            <w:vAlign w:val="center"/>
          </w:tcPr>
          <w:p>
            <w:pPr>
              <w:tabs>
                <w:tab w:val="left" w:pos="1875"/>
              </w:tabs>
              <w:spacing w:line="400" w:lineRule="exact"/>
              <w:jc w:val="left"/>
              <w:rPr>
                <w:rFonts w:ascii="宋体" w:hAnsi="宋体"/>
                <w:kern w:val="0"/>
              </w:rPr>
            </w:pPr>
          </w:p>
        </w:tc>
        <w:tc>
          <w:tcPr>
            <w:tcW w:w="1710" w:type="dxa"/>
            <w:gridSpan w:val="2"/>
            <w:tcBorders>
              <w:left w:val="single" w:color="auto" w:sz="4" w:space="0"/>
            </w:tcBorders>
            <w:vAlign w:val="center"/>
          </w:tcPr>
          <w:p>
            <w:pPr>
              <w:tabs>
                <w:tab w:val="left" w:pos="1875"/>
              </w:tabs>
              <w:spacing w:line="400" w:lineRule="exact"/>
              <w:rPr>
                <w:rFonts w:hint="eastAsia" w:ascii="宋体" w:hAnsi="宋体" w:eastAsia="宋体"/>
                <w:kern w:val="0"/>
                <w:lang w:eastAsia="zh-CN"/>
              </w:rPr>
            </w:pPr>
            <w:r>
              <w:rPr>
                <w:rFonts w:hint="eastAsia" w:ascii="宋体" w:hAnsi="宋体"/>
                <w:kern w:val="0"/>
                <w:lang w:eastAsia="zh-CN"/>
              </w:rPr>
              <w:t>服务承诺及进度控制</w:t>
            </w:r>
          </w:p>
        </w:tc>
        <w:tc>
          <w:tcPr>
            <w:tcW w:w="5493" w:type="dxa"/>
            <w:vAlign w:val="center"/>
          </w:tcPr>
          <w:p>
            <w:pPr>
              <w:snapToGrid w:val="0"/>
              <w:spacing w:line="400" w:lineRule="exact"/>
              <w:ind w:firstLine="420" w:firstLineChars="200"/>
              <w:rPr>
                <w:rFonts w:ascii="宋体" w:hAnsi="宋体"/>
                <w:kern w:val="0"/>
              </w:rPr>
            </w:pPr>
            <w:r>
              <w:rPr>
                <w:rFonts w:hint="eastAsia" w:ascii="宋体" w:hAnsi="宋体" w:cs="宋体"/>
                <w:color w:val="auto"/>
                <w:kern w:val="0"/>
                <w:highlight w:val="none"/>
              </w:rPr>
              <w:t>优</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分，良</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分，一般</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分，差</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分，未提供0分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ind w:firstLine="210" w:firstLineChars="100"/>
              <w:jc w:val="center"/>
              <w:rPr>
                <w:rFonts w:ascii="宋体" w:hAnsi="宋体"/>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850" w:type="dxa"/>
            <w:vMerge w:val="continue"/>
            <w:tcBorders>
              <w:right w:val="single" w:color="auto" w:sz="4" w:space="0"/>
            </w:tcBorders>
            <w:vAlign w:val="center"/>
          </w:tcPr>
          <w:p>
            <w:pPr>
              <w:tabs>
                <w:tab w:val="left" w:pos="1875"/>
              </w:tabs>
              <w:spacing w:line="400" w:lineRule="exact"/>
              <w:jc w:val="left"/>
              <w:rPr>
                <w:rFonts w:ascii="宋体" w:hAnsi="宋体"/>
                <w:kern w:val="0"/>
              </w:rPr>
            </w:pPr>
          </w:p>
        </w:tc>
        <w:tc>
          <w:tcPr>
            <w:tcW w:w="1710" w:type="dxa"/>
            <w:gridSpan w:val="2"/>
            <w:tcBorders>
              <w:left w:val="single" w:color="auto" w:sz="4" w:space="0"/>
            </w:tcBorders>
            <w:vAlign w:val="center"/>
          </w:tcPr>
          <w:p>
            <w:pPr>
              <w:tabs>
                <w:tab w:val="left" w:pos="1875"/>
              </w:tabs>
              <w:spacing w:line="400" w:lineRule="exact"/>
              <w:rPr>
                <w:rFonts w:hint="eastAsia" w:ascii="宋体" w:hAnsi="宋体" w:eastAsia="宋体"/>
                <w:kern w:val="0"/>
                <w:lang w:eastAsia="zh-CN"/>
              </w:rPr>
            </w:pPr>
            <w:r>
              <w:rPr>
                <w:rFonts w:hint="eastAsia" w:ascii="宋体" w:hAnsi="宋体"/>
                <w:kern w:val="0"/>
                <w:lang w:eastAsia="zh-CN"/>
              </w:rPr>
              <w:t>应急预案</w:t>
            </w:r>
          </w:p>
        </w:tc>
        <w:tc>
          <w:tcPr>
            <w:tcW w:w="5493" w:type="dxa"/>
            <w:vAlign w:val="center"/>
          </w:tcPr>
          <w:p>
            <w:pPr>
              <w:snapToGrid w:val="0"/>
              <w:spacing w:line="400" w:lineRule="exact"/>
              <w:ind w:firstLine="420" w:firstLineChars="200"/>
              <w:rPr>
                <w:rFonts w:ascii="宋体" w:hAnsi="宋体"/>
                <w:kern w:val="0"/>
              </w:rPr>
            </w:pPr>
            <w:r>
              <w:rPr>
                <w:rFonts w:hint="eastAsia" w:ascii="宋体" w:hAnsi="宋体" w:cs="宋体"/>
                <w:color w:val="auto"/>
                <w:kern w:val="0"/>
                <w:highlight w:val="none"/>
              </w:rPr>
              <w:t>优</w:t>
            </w:r>
            <w:r>
              <w:rPr>
                <w:rFonts w:hint="eastAsia" w:ascii="宋体" w:hAnsi="宋体" w:cs="宋体"/>
                <w:color w:val="auto"/>
                <w:kern w:val="0"/>
                <w:highlight w:val="none"/>
                <w:lang w:val="en-US" w:eastAsia="zh-CN"/>
              </w:rPr>
              <w:t>10</w:t>
            </w:r>
            <w:r>
              <w:rPr>
                <w:rFonts w:hint="eastAsia" w:ascii="宋体" w:hAnsi="宋体" w:cs="宋体"/>
                <w:color w:val="auto"/>
                <w:kern w:val="0"/>
                <w:highlight w:val="none"/>
              </w:rPr>
              <w:t>分，良</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分，一般</w:t>
            </w:r>
            <w:r>
              <w:rPr>
                <w:rFonts w:hint="eastAsia" w:ascii="宋体" w:hAnsi="宋体" w:cs="宋体"/>
                <w:color w:val="auto"/>
                <w:kern w:val="0"/>
                <w:highlight w:val="none"/>
                <w:lang w:val="en-US" w:eastAsia="zh-CN"/>
              </w:rPr>
              <w:t>4</w:t>
            </w:r>
            <w:r>
              <w:rPr>
                <w:rFonts w:hint="eastAsia" w:ascii="宋体" w:hAnsi="宋体" w:cs="宋体"/>
                <w:color w:val="auto"/>
                <w:kern w:val="0"/>
                <w:highlight w:val="none"/>
              </w:rPr>
              <w:t>分，差</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分，未提供0分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restart"/>
            <w:tcBorders>
              <w:right w:val="single" w:color="auto" w:sz="4" w:space="0"/>
            </w:tcBorders>
            <w:vAlign w:val="center"/>
          </w:tcPr>
          <w:p>
            <w:pPr>
              <w:spacing w:line="400" w:lineRule="exact"/>
              <w:rPr>
                <w:rFonts w:ascii="宋体" w:hAnsi="宋体"/>
                <w:kern w:val="0"/>
              </w:rPr>
            </w:pPr>
            <w:r>
              <w:rPr>
                <w:rFonts w:hint="eastAsia" w:ascii="宋体" w:hAnsi="宋体"/>
                <w:kern w:val="0"/>
              </w:rPr>
              <w:t>2.2.2（2）</w:t>
            </w:r>
          </w:p>
        </w:tc>
        <w:tc>
          <w:tcPr>
            <w:tcW w:w="535"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560" w:type="dxa"/>
            <w:gridSpan w:val="3"/>
            <w:vAlign w:val="center"/>
          </w:tcPr>
          <w:p>
            <w:pPr>
              <w:tabs>
                <w:tab w:val="left" w:pos="1875"/>
              </w:tabs>
              <w:spacing w:line="400" w:lineRule="exact"/>
              <w:jc w:val="left"/>
              <w:rPr>
                <w:rFonts w:ascii="宋体" w:hAnsi="宋体" w:cs="宋体"/>
                <w:kern w:val="0"/>
              </w:rPr>
            </w:pPr>
            <w:r>
              <w:rPr>
                <w:rFonts w:hint="eastAsia" w:ascii="宋体" w:hAnsi="宋体" w:cs="宋体"/>
                <w:kern w:val="0"/>
              </w:rPr>
              <w:t>投标函部分的签名盖章</w:t>
            </w:r>
          </w:p>
        </w:tc>
        <w:tc>
          <w:tcPr>
            <w:tcW w:w="5493" w:type="dxa"/>
            <w:vAlign w:val="center"/>
          </w:tcPr>
          <w:p>
            <w:pPr>
              <w:snapToGrid w:val="0"/>
              <w:spacing w:line="400" w:lineRule="exact"/>
              <w:ind w:firstLine="420" w:firstLineChars="200"/>
              <w:rPr>
                <w:rFonts w:hint="eastAsia" w:ascii="宋体" w:hAnsi="宋体" w:eastAsia="宋体" w:cs="宋体"/>
                <w:kern w:val="0"/>
                <w:lang w:eastAsia="zh-CN"/>
              </w:rPr>
            </w:pPr>
            <w:r>
              <w:rPr>
                <w:rFonts w:hint="eastAsia" w:ascii="宋体" w:hAnsi="宋体" w:cs="宋体"/>
                <w:kern w:val="0"/>
              </w:rPr>
              <w:t>投标函部分的格式要求法定代表人或其委托代理人签名（或盖章）的须齐全</w:t>
            </w:r>
            <w:r>
              <w:rPr>
                <w:rFonts w:hint="eastAsia" w:ascii="宋体" w:hAnsi="宋体" w:cs="宋体"/>
                <w:kern w:val="0"/>
                <w:lang w:eastAsia="zh-CN"/>
              </w:rPr>
              <w:t>。</w:t>
            </w:r>
          </w:p>
          <w:p>
            <w:pPr>
              <w:snapToGrid w:val="0"/>
              <w:spacing w:line="400" w:lineRule="exact"/>
              <w:ind w:firstLine="420" w:firstLineChars="200"/>
              <w:rPr>
                <w:rFonts w:ascii="宋体" w:hAnsi="宋体"/>
                <w:u w:val="singl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560" w:type="dxa"/>
            <w:gridSpan w:val="3"/>
            <w:vAlign w:val="center"/>
          </w:tcPr>
          <w:p>
            <w:pPr>
              <w:tabs>
                <w:tab w:val="left" w:pos="1875"/>
              </w:tabs>
              <w:spacing w:line="400" w:lineRule="exact"/>
              <w:jc w:val="left"/>
              <w:rPr>
                <w:rFonts w:ascii="宋体" w:hAnsi="宋体" w:cs="宋体"/>
                <w:kern w:val="0"/>
              </w:rPr>
            </w:pPr>
            <w:r>
              <w:rPr>
                <w:rFonts w:hint="eastAsia" w:ascii="宋体" w:hAnsi="宋体" w:cs="宋体"/>
                <w:kern w:val="0"/>
              </w:rPr>
              <w:t>工期</w:t>
            </w:r>
          </w:p>
        </w:tc>
        <w:tc>
          <w:tcPr>
            <w:tcW w:w="5493" w:type="dxa"/>
            <w:vAlign w:val="center"/>
          </w:tcPr>
          <w:p>
            <w:pPr>
              <w:snapToGrid w:val="0"/>
              <w:spacing w:line="400" w:lineRule="exact"/>
              <w:ind w:firstLine="420" w:firstLineChars="200"/>
              <w:rPr>
                <w:rFonts w:ascii="宋体" w:hAnsi="宋体"/>
                <w:u w:val="single"/>
              </w:rPr>
            </w:pPr>
            <w:r>
              <w:rPr>
                <w:rFonts w:hint="eastAsia" w:ascii="宋体" w:hAnsi="宋体" w:cs="宋体"/>
                <w:kern w:val="0"/>
              </w:rPr>
              <w:t>符合第二章“投标人须知”第1.3.2项规定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560" w:type="dxa"/>
            <w:gridSpan w:val="3"/>
            <w:vAlign w:val="center"/>
          </w:tcPr>
          <w:p>
            <w:pPr>
              <w:tabs>
                <w:tab w:val="left" w:pos="1875"/>
              </w:tabs>
              <w:spacing w:line="400" w:lineRule="exact"/>
              <w:jc w:val="left"/>
              <w:rPr>
                <w:rFonts w:ascii="宋体" w:hAnsi="宋体" w:cs="宋体"/>
                <w:kern w:val="0"/>
              </w:rPr>
            </w:pPr>
            <w:r>
              <w:rPr>
                <w:rFonts w:hint="eastAsia" w:ascii="宋体" w:hAnsi="宋体" w:cs="宋体"/>
                <w:kern w:val="0"/>
              </w:rPr>
              <w:t>工程质量</w:t>
            </w:r>
          </w:p>
        </w:tc>
        <w:tc>
          <w:tcPr>
            <w:tcW w:w="5493" w:type="dxa"/>
            <w:vAlign w:val="center"/>
          </w:tcPr>
          <w:p>
            <w:pPr>
              <w:snapToGrid w:val="0"/>
              <w:spacing w:line="400" w:lineRule="exact"/>
              <w:ind w:firstLine="420" w:firstLineChars="200"/>
              <w:rPr>
                <w:rFonts w:ascii="宋体" w:hAnsi="宋体"/>
                <w:u w:val="single"/>
              </w:rPr>
            </w:pPr>
            <w:r>
              <w:rPr>
                <w:rFonts w:hint="eastAsia" w:ascii="宋体" w:hAnsi="宋体" w:cs="宋体"/>
                <w:kern w:val="0"/>
              </w:rPr>
              <w:t>符合第二章“投标人须知”第1.3.3项规定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560" w:type="dxa"/>
            <w:gridSpan w:val="3"/>
            <w:vAlign w:val="center"/>
          </w:tcPr>
          <w:p>
            <w:pPr>
              <w:tabs>
                <w:tab w:val="left" w:pos="1875"/>
              </w:tabs>
              <w:spacing w:line="400" w:lineRule="exact"/>
              <w:jc w:val="left"/>
              <w:rPr>
                <w:rFonts w:ascii="宋体" w:hAnsi="宋体" w:cs="宋体"/>
                <w:kern w:val="0"/>
              </w:rPr>
            </w:pPr>
            <w:r>
              <w:rPr>
                <w:rFonts w:hint="eastAsia" w:ascii="宋体" w:hAnsi="宋体" w:cs="宋体"/>
                <w:kern w:val="0"/>
              </w:rPr>
              <w:t>投标有效期</w:t>
            </w:r>
          </w:p>
        </w:tc>
        <w:tc>
          <w:tcPr>
            <w:tcW w:w="5493" w:type="dxa"/>
            <w:vAlign w:val="center"/>
          </w:tcPr>
          <w:p>
            <w:pPr>
              <w:snapToGrid w:val="0"/>
              <w:spacing w:line="400" w:lineRule="exact"/>
              <w:ind w:firstLine="420" w:firstLineChars="200"/>
              <w:rPr>
                <w:rFonts w:ascii="宋体" w:hAnsi="宋体"/>
                <w:u w:val="single"/>
              </w:rPr>
            </w:pPr>
            <w:r>
              <w:rPr>
                <w:rFonts w:hint="eastAsia" w:ascii="宋体" w:hAnsi="宋体" w:cs="宋体"/>
                <w:kern w:val="0"/>
              </w:rPr>
              <w:t>符合第二章“投标人须知”第3.3.1项规定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560" w:type="dxa"/>
            <w:gridSpan w:val="3"/>
            <w:vAlign w:val="center"/>
          </w:tcPr>
          <w:p>
            <w:pPr>
              <w:tabs>
                <w:tab w:val="left" w:pos="1875"/>
              </w:tabs>
              <w:spacing w:line="400" w:lineRule="exact"/>
              <w:jc w:val="left"/>
              <w:rPr>
                <w:rFonts w:ascii="宋体" w:hAnsi="宋体" w:cs="宋体"/>
                <w:kern w:val="0"/>
              </w:rPr>
            </w:pPr>
            <w:r>
              <w:rPr>
                <w:rFonts w:ascii="宋体" w:hAnsi="宋体"/>
                <w:kern w:val="0"/>
              </w:rPr>
              <w:t>投标总报价</w:t>
            </w:r>
          </w:p>
        </w:tc>
        <w:tc>
          <w:tcPr>
            <w:tcW w:w="5493" w:type="dxa"/>
            <w:vAlign w:val="center"/>
          </w:tcPr>
          <w:p>
            <w:pPr>
              <w:spacing w:line="400" w:lineRule="exact"/>
              <w:ind w:firstLine="420" w:firstLineChars="200"/>
              <w:rPr>
                <w:rFonts w:ascii="宋体" w:hAnsi="宋体"/>
                <w:kern w:val="0"/>
              </w:rPr>
            </w:pPr>
            <w:r>
              <w:rPr>
                <w:rFonts w:ascii="宋体" w:hAnsi="宋体"/>
                <w:kern w:val="0"/>
              </w:rPr>
              <w:t>投标总报价不得高于招标人公布的投标总报价最高限价</w:t>
            </w:r>
            <w:r>
              <w:rPr>
                <w:rFonts w:hint="eastAsia" w:ascii="宋体" w:hAnsi="宋体"/>
                <w:kern w:val="0"/>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560" w:type="dxa"/>
            <w:gridSpan w:val="3"/>
            <w:vAlign w:val="center"/>
          </w:tcPr>
          <w:p>
            <w:pPr>
              <w:tabs>
                <w:tab w:val="left" w:pos="1875"/>
              </w:tabs>
              <w:spacing w:line="400" w:lineRule="exact"/>
              <w:jc w:val="left"/>
              <w:rPr>
                <w:rFonts w:ascii="宋体" w:hAnsi="宋体" w:cs="宋体"/>
                <w:kern w:val="0"/>
              </w:rPr>
            </w:pPr>
            <w:r>
              <w:rPr>
                <w:rFonts w:ascii="宋体" w:hAnsi="宋体"/>
                <w:kern w:val="0"/>
              </w:rPr>
              <w:t>报价唯一</w:t>
            </w:r>
          </w:p>
        </w:tc>
        <w:tc>
          <w:tcPr>
            <w:tcW w:w="5493" w:type="dxa"/>
            <w:vAlign w:val="center"/>
          </w:tcPr>
          <w:p>
            <w:pPr>
              <w:snapToGrid w:val="0"/>
              <w:spacing w:line="400" w:lineRule="exact"/>
              <w:ind w:firstLine="420" w:firstLineChars="200"/>
              <w:rPr>
                <w:rFonts w:ascii="宋体" w:hAnsi="宋体"/>
                <w:u w:val="single"/>
              </w:rPr>
            </w:pPr>
            <w:r>
              <w:rPr>
                <w:rFonts w:ascii="宋体" w:hAnsi="宋体"/>
                <w:kern w:val="0"/>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87" w:type="dxa"/>
            <w:gridSpan w:val="2"/>
            <w:vMerge w:val="continue"/>
            <w:tcBorders>
              <w:right w:val="single" w:color="auto" w:sz="4" w:space="0"/>
            </w:tcBorders>
            <w:vAlign w:val="center"/>
          </w:tcPr>
          <w:p>
            <w:pPr>
              <w:spacing w:line="400" w:lineRule="exact"/>
              <w:rPr>
                <w:rFonts w:ascii="宋体" w:hAnsi="宋体"/>
                <w:kern w:val="0"/>
              </w:rPr>
            </w:pPr>
          </w:p>
        </w:tc>
        <w:tc>
          <w:tcPr>
            <w:tcW w:w="535" w:type="dxa"/>
            <w:vMerge w:val="continue"/>
            <w:tcBorders>
              <w:left w:val="single" w:color="auto" w:sz="4" w:space="0"/>
            </w:tcBorders>
            <w:vAlign w:val="center"/>
          </w:tcPr>
          <w:p>
            <w:pPr>
              <w:spacing w:line="400" w:lineRule="exact"/>
              <w:ind w:firstLine="210" w:firstLineChars="100"/>
              <w:jc w:val="center"/>
              <w:rPr>
                <w:rFonts w:ascii="宋体" w:hAnsi="宋体"/>
                <w:kern w:val="0"/>
              </w:rPr>
            </w:pPr>
          </w:p>
        </w:tc>
        <w:tc>
          <w:tcPr>
            <w:tcW w:w="2560" w:type="dxa"/>
            <w:gridSpan w:val="3"/>
            <w:vAlign w:val="center"/>
          </w:tcPr>
          <w:p>
            <w:pPr>
              <w:tabs>
                <w:tab w:val="left" w:pos="1875"/>
              </w:tabs>
              <w:spacing w:line="400" w:lineRule="exact"/>
              <w:jc w:val="left"/>
              <w:rPr>
                <w:rFonts w:ascii="宋体" w:hAnsi="宋体" w:cs="宋体"/>
                <w:kern w:val="0"/>
              </w:rPr>
            </w:pPr>
            <w:r>
              <w:rPr>
                <w:rFonts w:ascii="宋体" w:hAnsi="宋体"/>
                <w:kern w:val="0"/>
              </w:rPr>
              <w:t>已标价工程量清单</w:t>
            </w:r>
          </w:p>
        </w:tc>
        <w:tc>
          <w:tcPr>
            <w:tcW w:w="5493" w:type="dxa"/>
            <w:vAlign w:val="center"/>
          </w:tcPr>
          <w:p>
            <w:pPr>
              <w:spacing w:after="62" w:afterLines="20" w:line="400" w:lineRule="exact"/>
              <w:ind w:firstLine="420" w:firstLineChars="200"/>
              <w:rPr>
                <w:rFonts w:ascii="宋体" w:hAnsi="宋体"/>
                <w:kern w:val="0"/>
              </w:rPr>
            </w:pPr>
            <w:r>
              <w:rPr>
                <w:rFonts w:hint="eastAsia" w:ascii="宋体" w:hAnsi="宋体"/>
                <w:kern w:val="0"/>
              </w:rPr>
              <w:t>1</w:t>
            </w:r>
            <w:r>
              <w:rPr>
                <w:rFonts w:ascii="宋体" w:hAnsi="宋体"/>
                <w:kern w:val="0"/>
              </w:rPr>
              <w:t>.符合第五章“工程量清单”给出的范围及数量。</w:t>
            </w:r>
          </w:p>
          <w:p>
            <w:pPr>
              <w:spacing w:after="62" w:afterLines="20" w:line="400" w:lineRule="exact"/>
              <w:ind w:firstLine="420" w:firstLineChars="200"/>
              <w:rPr>
                <w:rFonts w:ascii="宋体" w:hAnsi="宋体"/>
                <w:kern w:val="0"/>
              </w:rPr>
            </w:pPr>
            <w:r>
              <w:rPr>
                <w:rFonts w:ascii="宋体" w:hAnsi="宋体"/>
                <w:kern w:val="0"/>
              </w:rPr>
              <w:t>2.</w:t>
            </w:r>
            <w:r>
              <w:rPr>
                <w:rFonts w:hint="eastAsia" w:ascii="宋体" w:hAnsi="宋体"/>
                <w:kern w:val="0"/>
              </w:rPr>
              <w:t>招标文件中规定工程量清单不允许修改的内容不得修改。</w:t>
            </w:r>
          </w:p>
          <w:p>
            <w:pPr>
              <w:snapToGrid w:val="0"/>
              <w:spacing w:line="400" w:lineRule="exact"/>
              <w:ind w:firstLine="420" w:firstLineChars="200"/>
              <w:rPr>
                <w:rFonts w:ascii="宋体" w:hAnsi="宋体"/>
                <w:u w:val="single"/>
              </w:rPr>
            </w:pPr>
            <w:r>
              <w:rPr>
                <w:rFonts w:hint="eastAsia" w:ascii="宋体" w:hAnsi="宋体"/>
                <w:kern w:val="0"/>
              </w:rPr>
              <w:t>3.每项清单综合单价报价不得高于每项清单综合单价最高限价。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422" w:type="dxa"/>
            <w:gridSpan w:val="3"/>
            <w:vAlign w:val="center"/>
          </w:tcPr>
          <w:p>
            <w:pPr>
              <w:spacing w:line="400" w:lineRule="exact"/>
              <w:jc w:val="center"/>
              <w:rPr>
                <w:rFonts w:ascii="宋体" w:hAnsi="宋体"/>
                <w:kern w:val="0"/>
              </w:rPr>
            </w:pPr>
            <w:r>
              <w:rPr>
                <w:rFonts w:ascii="宋体" w:hAnsi="宋体"/>
                <w:kern w:val="0"/>
              </w:rPr>
              <w:t>2.2.</w:t>
            </w:r>
            <w:r>
              <w:rPr>
                <w:rFonts w:hint="eastAsia" w:ascii="宋体" w:hAnsi="宋体"/>
                <w:kern w:val="0"/>
              </w:rPr>
              <w:t>3</w:t>
            </w:r>
          </w:p>
        </w:tc>
        <w:tc>
          <w:tcPr>
            <w:tcW w:w="1546" w:type="dxa"/>
            <w:gridSpan w:val="2"/>
            <w:vAlign w:val="center"/>
          </w:tcPr>
          <w:p>
            <w:pPr>
              <w:spacing w:line="400" w:lineRule="exact"/>
              <w:jc w:val="center"/>
              <w:rPr>
                <w:rFonts w:ascii="宋体" w:hAnsi="宋体"/>
                <w:kern w:val="0"/>
              </w:rPr>
            </w:pPr>
            <w:r>
              <w:rPr>
                <w:rFonts w:ascii="宋体" w:hAnsi="宋体"/>
                <w:kern w:val="0"/>
              </w:rPr>
              <w:t>评标基准价计算方法</w:t>
            </w:r>
          </w:p>
        </w:tc>
        <w:tc>
          <w:tcPr>
            <w:tcW w:w="1014" w:type="dxa"/>
            <w:vAlign w:val="center"/>
          </w:tcPr>
          <w:p>
            <w:pPr>
              <w:spacing w:line="400" w:lineRule="exact"/>
              <w:jc w:val="center"/>
              <w:rPr>
                <w:rFonts w:ascii="宋体" w:hAnsi="宋体"/>
                <w:kern w:val="0"/>
              </w:rPr>
            </w:pPr>
            <w:r>
              <w:rPr>
                <w:rFonts w:ascii="宋体" w:hAnsi="宋体"/>
                <w:kern w:val="0"/>
              </w:rPr>
              <w:t>投标总报价</w:t>
            </w:r>
          </w:p>
        </w:tc>
        <w:tc>
          <w:tcPr>
            <w:tcW w:w="5493" w:type="dxa"/>
          </w:tcPr>
          <w:p>
            <w:pPr>
              <w:snapToGrid w:val="0"/>
              <w:spacing w:line="400" w:lineRule="exact"/>
              <w:ind w:firstLine="420" w:firstLineChars="200"/>
              <w:rPr>
                <w:rFonts w:hint="eastAsia" w:ascii="宋体" w:hAnsi="宋体"/>
                <w:kern w:val="0"/>
                <w:szCs w:val="21"/>
              </w:rPr>
            </w:pPr>
            <w:r>
              <w:rPr>
                <w:rFonts w:ascii="宋体" w:hAnsi="宋体"/>
                <w:kern w:val="0"/>
                <w:szCs w:val="21"/>
              </w:rPr>
              <w:t>所有通过初步评审</w:t>
            </w:r>
            <w:r>
              <w:rPr>
                <w:rFonts w:hint="eastAsia" w:ascii="宋体" w:hAnsi="宋体"/>
                <w:kern w:val="0"/>
                <w:szCs w:val="21"/>
              </w:rPr>
              <w:t>和本章第2.2.2（2）目评审</w:t>
            </w:r>
            <w:r>
              <w:rPr>
                <w:rFonts w:ascii="宋体" w:hAnsi="宋体"/>
                <w:kern w:val="0"/>
                <w:szCs w:val="21"/>
              </w:rPr>
              <w:t>合格的投标人</w:t>
            </w:r>
            <w:r>
              <w:rPr>
                <w:rFonts w:ascii="宋体" w:hAnsi="宋体"/>
                <w:szCs w:val="21"/>
              </w:rPr>
              <w:t>的投标总报</w:t>
            </w:r>
            <w:r>
              <w:rPr>
                <w:rFonts w:ascii="宋体" w:hAnsi="宋体"/>
                <w:kern w:val="0"/>
                <w:szCs w:val="21"/>
              </w:rPr>
              <w:t>价</w:t>
            </w:r>
            <w:r>
              <w:rPr>
                <w:rFonts w:hint="eastAsia" w:ascii="宋体" w:hAnsi="宋体" w:cs="宋体"/>
                <w:color w:val="auto"/>
                <w:kern w:val="0"/>
                <w:szCs w:val="21"/>
                <w:highlight w:val="none"/>
              </w:rPr>
              <w:t>的算术平均值</w:t>
            </w:r>
            <w:r>
              <w:rPr>
                <w:rFonts w:ascii="宋体" w:hAnsi="宋体"/>
                <w:kern w:val="0"/>
                <w:szCs w:val="21"/>
              </w:rPr>
              <w:t>算术平均值</w:t>
            </w:r>
            <w:r>
              <w:rPr>
                <w:rFonts w:hint="eastAsia" w:ascii="宋体" w:hAnsi="宋体"/>
                <w:kern w:val="0"/>
                <w:szCs w:val="21"/>
              </w:rPr>
              <w:t>，即为本项目的投标总报价的评标基准价。</w:t>
            </w:r>
          </w:p>
          <w:p>
            <w:pPr>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以上计算取小数点后两位，第三位四舍五入。</w:t>
            </w:r>
          </w:p>
          <w:p>
            <w:pPr>
              <w:snapToGrid w:val="0"/>
              <w:spacing w:line="400" w:lineRule="exact"/>
              <w:ind w:firstLine="420" w:firstLineChars="200"/>
              <w:rPr>
                <w:rFonts w:ascii="宋体" w:hAnsi="宋体"/>
                <w:kern w:val="0"/>
                <w:szCs w:val="21"/>
              </w:rPr>
            </w:pPr>
            <w:r>
              <w:rPr>
                <w:rFonts w:hint="eastAsia" w:ascii="宋体" w:hAnsi="宋体" w:cs="宋体"/>
                <w:color w:val="auto"/>
                <w:kern w:val="0"/>
                <w:szCs w:val="21"/>
                <w:highlight w:val="none"/>
              </w:rPr>
              <w:t>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5" w:type="dxa"/>
            <w:vAlign w:val="center"/>
          </w:tcPr>
          <w:p>
            <w:pPr>
              <w:spacing w:line="400" w:lineRule="exact"/>
              <w:jc w:val="center"/>
              <w:rPr>
                <w:rFonts w:ascii="宋体" w:hAnsi="宋体"/>
                <w:kern w:val="0"/>
              </w:rPr>
            </w:pPr>
            <w:r>
              <w:rPr>
                <w:rFonts w:ascii="宋体" w:hAnsi="宋体"/>
              </w:rPr>
              <w:t>3</w:t>
            </w:r>
          </w:p>
        </w:tc>
        <w:tc>
          <w:tcPr>
            <w:tcW w:w="1417" w:type="dxa"/>
            <w:gridSpan w:val="3"/>
            <w:vAlign w:val="center"/>
          </w:tcPr>
          <w:p>
            <w:pPr>
              <w:spacing w:line="400" w:lineRule="exact"/>
              <w:jc w:val="center"/>
              <w:rPr>
                <w:rFonts w:ascii="宋体" w:hAnsi="宋体"/>
                <w:kern w:val="0"/>
              </w:rPr>
            </w:pPr>
            <w:r>
              <w:rPr>
                <w:rFonts w:ascii="宋体" w:hAnsi="宋体"/>
              </w:rPr>
              <w:t>评标程序</w:t>
            </w:r>
          </w:p>
        </w:tc>
        <w:tc>
          <w:tcPr>
            <w:tcW w:w="7203" w:type="dxa"/>
            <w:gridSpan w:val="3"/>
          </w:tcPr>
          <w:p>
            <w:pPr>
              <w:spacing w:line="400" w:lineRule="exact"/>
              <w:ind w:firstLine="420" w:firstLineChars="200"/>
              <w:rPr>
                <w:rFonts w:ascii="宋体" w:hAnsi="宋体"/>
                <w:szCs w:val="21"/>
              </w:rPr>
            </w:pPr>
            <w:r>
              <w:rPr>
                <w:rFonts w:hint="eastAsia" w:ascii="宋体" w:hAnsi="宋体"/>
                <w:szCs w:val="21"/>
              </w:rPr>
              <w:t>1.按本章评标办法第3.1款进行初步评审。未通过初步评审或评标委员会认定为无效的投标文件的不再进行后续评审。</w:t>
            </w:r>
          </w:p>
          <w:p>
            <w:pPr>
              <w:spacing w:line="400" w:lineRule="exact"/>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.经评审合格的投标人按照本章第2.2.3项计算方法计算评标基准价，并按本附表第3.2.1（2）目规定的评分方法对投标总报价进行评分。</w:t>
            </w:r>
          </w:p>
          <w:p>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.对技术部分、投标总报价得分进行汇总，确定得分由高至低前三名投标人为中标候选人。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restart"/>
            <w:vAlign w:val="center"/>
          </w:tcPr>
          <w:p>
            <w:pPr>
              <w:spacing w:line="400" w:lineRule="exact"/>
              <w:jc w:val="center"/>
              <w:rPr>
                <w:rFonts w:ascii="宋体" w:hAnsi="宋体"/>
              </w:rPr>
            </w:pPr>
            <w:r>
              <w:rPr>
                <w:rFonts w:ascii="宋体" w:hAnsi="宋体"/>
              </w:rPr>
              <w:t>3.2.1</w:t>
            </w:r>
          </w:p>
          <w:p>
            <w:pPr>
              <w:spacing w:line="400" w:lineRule="exact"/>
              <w:jc w:val="center"/>
              <w:rPr>
                <w:rFonts w:ascii="宋体" w:hAnsi="宋体"/>
              </w:rPr>
            </w:pPr>
            <w:r>
              <w:rPr>
                <w:rFonts w:ascii="宋体" w:hAnsi="宋体"/>
              </w:rPr>
              <w:t>（</w:t>
            </w:r>
            <w:r>
              <w:rPr>
                <w:rFonts w:hint="eastAsia" w:ascii="宋体" w:hAnsi="宋体"/>
              </w:rPr>
              <w:t>1</w:t>
            </w:r>
            <w:r>
              <w:rPr>
                <w:rFonts w:ascii="宋体" w:hAnsi="宋体"/>
              </w:rPr>
              <w:t>）</w:t>
            </w:r>
          </w:p>
        </w:tc>
        <w:tc>
          <w:tcPr>
            <w:tcW w:w="1417" w:type="dxa"/>
            <w:gridSpan w:val="3"/>
            <w:vMerge w:val="restart"/>
            <w:vAlign w:val="center"/>
          </w:tcPr>
          <w:p>
            <w:pPr>
              <w:spacing w:line="400" w:lineRule="exact"/>
              <w:jc w:val="center"/>
              <w:rPr>
                <w:rFonts w:ascii="宋体" w:hAnsi="宋体"/>
              </w:rPr>
            </w:pPr>
            <w:r>
              <w:rPr>
                <w:rFonts w:hint="eastAsia" w:ascii="宋体" w:hAnsi="宋体"/>
              </w:rPr>
              <w:t>技术部分</w:t>
            </w:r>
            <w:r>
              <w:rPr>
                <w:rFonts w:ascii="宋体" w:hAnsi="宋体"/>
                <w:kern w:val="0"/>
              </w:rPr>
              <w:t>得分</w:t>
            </w:r>
            <w:r>
              <w:rPr>
                <w:rFonts w:ascii="宋体" w:hAnsi="宋体"/>
                <w:spacing w:val="-4"/>
              </w:rPr>
              <w:t>（</w:t>
            </w:r>
            <w:r>
              <w:rPr>
                <w:rFonts w:hint="eastAsia" w:ascii="宋体" w:hAnsi="宋体"/>
                <w:spacing w:val="-4"/>
              </w:rPr>
              <w:t>A）</w:t>
            </w:r>
          </w:p>
        </w:tc>
        <w:tc>
          <w:tcPr>
            <w:tcW w:w="1710" w:type="dxa"/>
            <w:gridSpan w:val="2"/>
            <w:tcBorders>
              <w:bottom w:val="single" w:color="auto" w:sz="4" w:space="0"/>
            </w:tcBorders>
            <w:vAlign w:val="center"/>
          </w:tcPr>
          <w:p>
            <w:pPr>
              <w:spacing w:line="400" w:lineRule="exact"/>
              <w:jc w:val="left"/>
              <w:rPr>
                <w:rFonts w:hint="eastAsia" w:ascii="宋体" w:hAnsi="宋体" w:eastAsia="宋体"/>
                <w:lang w:eastAsia="zh-CN"/>
              </w:rPr>
            </w:pPr>
            <w:r>
              <w:rPr>
                <w:rFonts w:hint="eastAsia"/>
                <w:lang w:eastAsia="zh-CN"/>
              </w:rPr>
              <w:t>服务方案</w:t>
            </w:r>
          </w:p>
        </w:tc>
        <w:tc>
          <w:tcPr>
            <w:tcW w:w="5493" w:type="dxa"/>
            <w:tcBorders>
              <w:bottom w:val="single" w:color="auto" w:sz="4" w:space="0"/>
            </w:tcBorders>
            <w:vAlign w:val="center"/>
          </w:tcPr>
          <w:p>
            <w:pPr>
              <w:spacing w:line="400" w:lineRule="exact"/>
              <w:ind w:firstLine="420" w:firstLineChars="200"/>
              <w:rPr>
                <w:rFonts w:ascii="宋体" w:hAnsi="宋体"/>
                <w:kern w:val="0"/>
                <w:szCs w:val="21"/>
              </w:rPr>
            </w:pPr>
            <w:r>
              <w:rPr>
                <w:rFonts w:hint="eastAsia" w:ascii="宋体" w:hAnsi="宋体"/>
                <w:kern w:val="0"/>
              </w:rPr>
              <w:t>不符合</w:t>
            </w:r>
            <w:r>
              <w:rPr>
                <w:rFonts w:hint="eastAsia" w:ascii="宋体" w:hAnsi="宋体" w:cs="宋体"/>
                <w:kern w:val="0"/>
              </w:rPr>
              <w:t>第二章投标人须知前附表第3.7.5项要求的</w:t>
            </w:r>
            <w:r>
              <w:rPr>
                <w:rFonts w:hint="eastAsia" w:ascii="宋体" w:hAnsi="宋体"/>
                <w:kern w:val="0"/>
              </w:rPr>
              <w:t>，技术方案得0分。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5" w:type="dxa"/>
            <w:vMerge w:val="continue"/>
            <w:vAlign w:val="center"/>
          </w:tcPr>
          <w:p>
            <w:pPr>
              <w:spacing w:line="400" w:lineRule="exact"/>
              <w:jc w:val="center"/>
              <w:rPr>
                <w:rFonts w:ascii="宋体" w:hAnsi="宋体"/>
              </w:rPr>
            </w:pPr>
          </w:p>
        </w:tc>
        <w:tc>
          <w:tcPr>
            <w:tcW w:w="1417" w:type="dxa"/>
            <w:gridSpan w:val="3"/>
            <w:vMerge w:val="continue"/>
            <w:vAlign w:val="center"/>
          </w:tcPr>
          <w:p>
            <w:pPr>
              <w:spacing w:line="400" w:lineRule="exact"/>
              <w:jc w:val="center"/>
              <w:rPr>
                <w:rFonts w:ascii="宋体" w:hAnsi="宋体"/>
              </w:rPr>
            </w:pPr>
          </w:p>
        </w:tc>
        <w:tc>
          <w:tcPr>
            <w:tcW w:w="1710" w:type="dxa"/>
            <w:gridSpan w:val="2"/>
            <w:tcBorders>
              <w:bottom w:val="single" w:color="auto" w:sz="4" w:space="0"/>
            </w:tcBorders>
            <w:vAlign w:val="center"/>
          </w:tcPr>
          <w:p>
            <w:pPr>
              <w:spacing w:line="400" w:lineRule="exact"/>
              <w:jc w:val="left"/>
              <w:rPr>
                <w:rFonts w:hint="eastAsia" w:ascii="宋体" w:hAnsi="宋体" w:eastAsia="宋体"/>
                <w:kern w:val="0"/>
                <w:lang w:eastAsia="zh-CN"/>
              </w:rPr>
            </w:pPr>
            <w:r>
              <w:rPr>
                <w:rFonts w:hint="eastAsia" w:ascii="宋体" w:hAnsi="宋体"/>
                <w:kern w:val="0"/>
                <w:lang w:eastAsia="zh-CN"/>
              </w:rPr>
              <w:t>管理制度</w:t>
            </w:r>
          </w:p>
        </w:tc>
        <w:tc>
          <w:tcPr>
            <w:tcW w:w="5493" w:type="dxa"/>
            <w:vMerge w:val="restart"/>
            <w:tcBorders>
              <w:top w:val="single" w:color="auto" w:sz="4" w:space="0"/>
            </w:tcBorders>
            <w:vAlign w:val="center"/>
          </w:tcPr>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评标委员会按第2.2.</w:t>
            </w:r>
            <w:r>
              <w:rPr>
                <w:rFonts w:hint="eastAsia" w:ascii="宋体" w:hAnsi="宋体"/>
                <w:szCs w:val="21"/>
              </w:rPr>
              <w:t>2（1）目</w:t>
            </w:r>
            <w:r>
              <w:rPr>
                <w:rFonts w:ascii="宋体" w:hAnsi="宋体"/>
                <w:szCs w:val="21"/>
              </w:rPr>
              <w:t>各评审因素设定的分值评分。</w:t>
            </w:r>
          </w:p>
          <w:p>
            <w:pPr>
              <w:spacing w:line="400" w:lineRule="exact"/>
              <w:ind w:firstLine="420" w:firstLineChars="200"/>
              <w:rPr>
                <w:rFonts w:ascii="宋体" w:hAnsi="宋体"/>
                <w:snapToGrid w:val="0"/>
                <w:kern w:val="0"/>
                <w:szCs w:val="21"/>
              </w:rPr>
            </w:pPr>
            <w:r>
              <w:rPr>
                <w:rFonts w:ascii="宋体" w:hAnsi="宋体"/>
                <w:snapToGrid w:val="0"/>
                <w:kern w:val="0"/>
                <w:szCs w:val="21"/>
              </w:rPr>
              <w:t>评标委员会成员为5人及以上时，所有评委打分中去掉一个最高和一个最低分，余下评委打分取算术平均值为该投标人技术方案得分。</w:t>
            </w:r>
          </w:p>
          <w:p>
            <w:pPr>
              <w:spacing w:line="400" w:lineRule="exact"/>
              <w:ind w:firstLine="420" w:firstLineChars="200"/>
              <w:rPr>
                <w:rFonts w:ascii="宋体" w:hAnsi="宋体"/>
                <w:kern w:val="0"/>
                <w:szCs w:val="21"/>
              </w:rPr>
            </w:pPr>
            <w:r>
              <w:rPr>
                <w:rFonts w:ascii="宋体" w:hAnsi="宋体"/>
                <w:kern w:val="0"/>
                <w:szCs w:val="21"/>
              </w:rPr>
              <w:t>技术方案得分的最终结果取小数点后两位，第三位四舍五入。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5" w:type="dxa"/>
            <w:vMerge w:val="continue"/>
            <w:vAlign w:val="center"/>
          </w:tcPr>
          <w:p>
            <w:pPr>
              <w:spacing w:line="400" w:lineRule="exact"/>
              <w:jc w:val="center"/>
              <w:rPr>
                <w:rFonts w:ascii="宋体" w:hAnsi="宋体"/>
              </w:rPr>
            </w:pPr>
          </w:p>
        </w:tc>
        <w:tc>
          <w:tcPr>
            <w:tcW w:w="1417" w:type="dxa"/>
            <w:gridSpan w:val="3"/>
            <w:vMerge w:val="continue"/>
            <w:vAlign w:val="center"/>
          </w:tcPr>
          <w:p>
            <w:pPr>
              <w:spacing w:line="400" w:lineRule="exact"/>
              <w:jc w:val="center"/>
              <w:rPr>
                <w:rFonts w:ascii="宋体" w:hAnsi="宋体"/>
              </w:rPr>
            </w:pPr>
          </w:p>
        </w:tc>
        <w:tc>
          <w:tcPr>
            <w:tcW w:w="1710" w:type="dxa"/>
            <w:gridSpan w:val="2"/>
            <w:tcBorders>
              <w:top w:val="single" w:color="auto" w:sz="4" w:space="0"/>
              <w:bottom w:val="single" w:color="auto" w:sz="4" w:space="0"/>
            </w:tcBorders>
            <w:vAlign w:val="center"/>
          </w:tcPr>
          <w:p>
            <w:pPr>
              <w:tabs>
                <w:tab w:val="left" w:pos="1875"/>
              </w:tabs>
              <w:spacing w:line="400" w:lineRule="exact"/>
              <w:rPr>
                <w:rFonts w:hint="eastAsia" w:ascii="宋体" w:hAnsi="宋体" w:eastAsia="宋体"/>
                <w:lang w:eastAsia="zh-CN"/>
              </w:rPr>
            </w:pPr>
            <w:r>
              <w:rPr>
                <w:rFonts w:hint="eastAsia" w:ascii="宋体" w:hAnsi="宋体"/>
                <w:kern w:val="0"/>
                <w:lang w:eastAsia="zh-CN"/>
              </w:rPr>
              <w:t>服务承诺及进度控制</w:t>
            </w:r>
          </w:p>
        </w:tc>
        <w:tc>
          <w:tcPr>
            <w:tcW w:w="5493" w:type="dxa"/>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5" w:type="dxa"/>
            <w:vMerge w:val="continue"/>
            <w:vAlign w:val="center"/>
          </w:tcPr>
          <w:p>
            <w:pPr>
              <w:spacing w:line="400" w:lineRule="exact"/>
              <w:jc w:val="center"/>
              <w:rPr>
                <w:rFonts w:ascii="宋体" w:hAnsi="宋体"/>
              </w:rPr>
            </w:pPr>
          </w:p>
        </w:tc>
        <w:tc>
          <w:tcPr>
            <w:tcW w:w="1417" w:type="dxa"/>
            <w:gridSpan w:val="3"/>
            <w:vMerge w:val="continue"/>
            <w:vAlign w:val="center"/>
          </w:tcPr>
          <w:p>
            <w:pPr>
              <w:spacing w:line="400" w:lineRule="exact"/>
              <w:jc w:val="center"/>
              <w:rPr>
                <w:rFonts w:ascii="宋体" w:hAnsi="宋体"/>
              </w:rPr>
            </w:pPr>
          </w:p>
        </w:tc>
        <w:tc>
          <w:tcPr>
            <w:tcW w:w="1710" w:type="dxa"/>
            <w:gridSpan w:val="2"/>
            <w:tcBorders>
              <w:top w:val="single" w:color="auto" w:sz="4" w:space="0"/>
              <w:bottom w:val="single" w:color="auto" w:sz="4" w:space="0"/>
            </w:tcBorders>
            <w:vAlign w:val="center"/>
          </w:tcPr>
          <w:p>
            <w:pPr>
              <w:tabs>
                <w:tab w:val="left" w:pos="1875"/>
              </w:tabs>
              <w:spacing w:line="400" w:lineRule="exact"/>
              <w:rPr>
                <w:rFonts w:ascii="宋体" w:hAnsi="宋体"/>
              </w:rPr>
            </w:pPr>
            <w:r>
              <w:rPr>
                <w:rFonts w:hint="eastAsia" w:ascii="宋体" w:hAnsi="宋体"/>
                <w:kern w:val="0"/>
                <w:lang w:eastAsia="zh-CN"/>
              </w:rPr>
              <w:t>应急预案</w:t>
            </w:r>
          </w:p>
        </w:tc>
        <w:tc>
          <w:tcPr>
            <w:tcW w:w="5493" w:type="dxa"/>
            <w:vMerge w:val="continue"/>
            <w:vAlign w:val="center"/>
          </w:tcPr>
          <w:p>
            <w:pPr>
              <w:autoSpaceDE w:val="0"/>
              <w:autoSpaceDN w:val="0"/>
              <w:adjustRightInd w:val="0"/>
              <w:snapToGrid w:val="0"/>
              <w:spacing w:line="400" w:lineRule="exact"/>
              <w:ind w:firstLine="420" w:firstLineChars="200"/>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55" w:type="dxa"/>
            <w:vAlign w:val="center"/>
          </w:tcPr>
          <w:p>
            <w:pPr>
              <w:spacing w:line="400" w:lineRule="exact"/>
              <w:jc w:val="center"/>
              <w:rPr>
                <w:rFonts w:ascii="宋体" w:hAnsi="宋体"/>
              </w:rPr>
            </w:pPr>
            <w:r>
              <w:rPr>
                <w:rFonts w:ascii="宋体" w:hAnsi="宋体"/>
              </w:rPr>
              <w:t>3.2.1（</w:t>
            </w:r>
            <w:r>
              <w:rPr>
                <w:rFonts w:hint="eastAsia" w:ascii="宋体" w:hAnsi="宋体"/>
              </w:rPr>
              <w:t>2</w:t>
            </w:r>
            <w:r>
              <w:rPr>
                <w:rFonts w:ascii="宋体" w:hAnsi="宋体"/>
              </w:rPr>
              <w:t>）</w:t>
            </w:r>
          </w:p>
        </w:tc>
        <w:tc>
          <w:tcPr>
            <w:tcW w:w="1417" w:type="dxa"/>
            <w:gridSpan w:val="3"/>
            <w:vAlign w:val="center"/>
          </w:tcPr>
          <w:p>
            <w:pPr>
              <w:spacing w:line="400" w:lineRule="exact"/>
              <w:jc w:val="center"/>
              <w:rPr>
                <w:rFonts w:ascii="宋体" w:hAnsi="宋体"/>
              </w:rPr>
            </w:pPr>
            <w:r>
              <w:rPr>
                <w:rFonts w:ascii="宋体" w:hAnsi="宋体"/>
              </w:rPr>
              <w:t>投标报价</w:t>
            </w:r>
            <w:r>
              <w:rPr>
                <w:rFonts w:ascii="宋体" w:hAnsi="宋体"/>
                <w:kern w:val="0"/>
              </w:rPr>
              <w:t>得分</w:t>
            </w:r>
            <w:r>
              <w:rPr>
                <w:rFonts w:ascii="宋体" w:hAnsi="宋体"/>
                <w:spacing w:val="-8"/>
              </w:rPr>
              <w:t>（</w:t>
            </w:r>
            <w:r>
              <w:rPr>
                <w:rFonts w:hint="eastAsia" w:ascii="宋体" w:hAnsi="宋体"/>
                <w:spacing w:val="-8"/>
              </w:rPr>
              <w:t>B</w:t>
            </w:r>
            <w:r>
              <w:rPr>
                <w:rFonts w:ascii="宋体" w:hAnsi="宋体"/>
                <w:spacing w:val="-8"/>
              </w:rPr>
              <w:t>）</w:t>
            </w:r>
          </w:p>
        </w:tc>
        <w:tc>
          <w:tcPr>
            <w:tcW w:w="1710" w:type="dxa"/>
            <w:gridSpan w:val="2"/>
            <w:tcBorders>
              <w:top w:val="single" w:color="auto" w:sz="4" w:space="0"/>
            </w:tcBorders>
            <w:vAlign w:val="center"/>
          </w:tcPr>
          <w:p>
            <w:pPr>
              <w:spacing w:line="400" w:lineRule="exact"/>
              <w:jc w:val="center"/>
              <w:rPr>
                <w:rFonts w:ascii="宋体" w:hAnsi="宋体"/>
              </w:rPr>
            </w:pPr>
            <w:r>
              <w:rPr>
                <w:rFonts w:ascii="宋体" w:hAnsi="宋体"/>
              </w:rPr>
              <w:t>投标总报价</w:t>
            </w:r>
          </w:p>
        </w:tc>
        <w:tc>
          <w:tcPr>
            <w:tcW w:w="5493" w:type="dxa"/>
            <w:vAlign w:val="center"/>
          </w:tcPr>
          <w:p>
            <w:pPr>
              <w:spacing w:line="400" w:lineRule="exact"/>
              <w:ind w:firstLine="420" w:firstLineChars="200"/>
              <w:rPr>
                <w:rFonts w:ascii="宋体" w:hAnsi="宋体"/>
                <w:szCs w:val="21"/>
              </w:rPr>
            </w:pPr>
            <w:r>
              <w:rPr>
                <w:rFonts w:hint="eastAsia" w:ascii="宋体" w:hAnsi="宋体" w:cs="宋体"/>
                <w:color w:val="auto"/>
                <w:kern w:val="0"/>
                <w:szCs w:val="21"/>
                <w:highlight w:val="none"/>
              </w:rPr>
              <w:t>所有通过初步审查的</w:t>
            </w:r>
            <w:r>
              <w:rPr>
                <w:rFonts w:hint="eastAsia" w:ascii="宋体" w:hAnsi="宋体" w:cs="宋体"/>
                <w:color w:val="auto"/>
                <w:kern w:val="0"/>
                <w:szCs w:val="21"/>
                <w:highlight w:val="none"/>
                <w:lang w:eastAsia="zh-CN"/>
              </w:rPr>
              <w:t>投标</w:t>
            </w:r>
            <w:r>
              <w:rPr>
                <w:rFonts w:hint="eastAsia" w:ascii="宋体" w:hAnsi="宋体" w:cs="宋体"/>
                <w:color w:val="auto"/>
                <w:kern w:val="0"/>
                <w:szCs w:val="21"/>
                <w:highlight w:val="none"/>
              </w:rPr>
              <w:t>报价的算术平均值为评标基准价</w:t>
            </w:r>
            <w:r>
              <w:rPr>
                <w:rFonts w:ascii="宋体" w:hAnsi="宋体"/>
                <w:szCs w:val="21"/>
              </w:rPr>
              <w:t>，</w:t>
            </w:r>
            <w:r>
              <w:rPr>
                <w:rFonts w:hint="eastAsia" w:ascii="宋体" w:hAnsi="宋体" w:cs="宋体"/>
                <w:color w:val="auto"/>
                <w:kern w:val="0"/>
                <w:szCs w:val="21"/>
                <w:highlight w:val="none"/>
              </w:rPr>
              <w:t>竞选人</w:t>
            </w:r>
            <w:r>
              <w:rPr>
                <w:rFonts w:hint="eastAsia" w:ascii="宋体" w:hAnsi="宋体" w:cs="宋体"/>
                <w:color w:val="auto"/>
                <w:kern w:val="0"/>
                <w:szCs w:val="21"/>
                <w:highlight w:val="none"/>
                <w:lang w:eastAsia="zh-CN"/>
              </w:rPr>
              <w:t>竞选</w:t>
            </w:r>
            <w:r>
              <w:rPr>
                <w:rFonts w:hint="eastAsia" w:ascii="宋体" w:hAnsi="宋体" w:cs="宋体"/>
                <w:color w:val="auto"/>
                <w:kern w:val="0"/>
                <w:szCs w:val="21"/>
                <w:highlight w:val="none"/>
              </w:rPr>
              <w:t>报价与评标基准价相比，等于评标基准价，得</w:t>
            </w:r>
            <w:r>
              <w:rPr>
                <w:rFonts w:ascii="宋体" w:hAnsi="宋体"/>
                <w:bCs/>
                <w:szCs w:val="28"/>
              </w:rPr>
              <w:t>满分</w:t>
            </w:r>
            <w:r>
              <w:rPr>
                <w:rFonts w:ascii="宋体" w:hAnsi="宋体"/>
                <w:bCs/>
                <w:szCs w:val="28"/>
                <w:u w:val="single"/>
              </w:rPr>
              <w:t xml:space="preserve">  </w:t>
            </w:r>
            <w:r>
              <w:rPr>
                <w:rFonts w:hint="eastAsia" w:ascii="宋体" w:hAnsi="宋体"/>
                <w:bCs/>
                <w:szCs w:val="28"/>
                <w:u w:val="single"/>
                <w:lang w:val="en-US" w:eastAsia="zh-CN"/>
              </w:rPr>
              <w:t>60</w:t>
            </w:r>
            <w:r>
              <w:rPr>
                <w:rFonts w:ascii="宋体" w:hAnsi="宋体"/>
                <w:bCs/>
                <w:szCs w:val="28"/>
                <w:u w:val="single"/>
              </w:rPr>
              <w:t xml:space="preserve">   </w:t>
            </w:r>
            <w:r>
              <w:rPr>
                <w:rFonts w:ascii="宋体" w:hAnsi="宋体"/>
                <w:szCs w:val="21"/>
              </w:rPr>
              <w:t>分。在此基础上，投标总报价与评标基准价相比，每增加1%扣</w:t>
            </w:r>
            <w:r>
              <w:rPr>
                <w:rFonts w:ascii="宋体" w:hAnsi="宋体"/>
                <w:szCs w:val="21"/>
                <w:u w:val="single"/>
              </w:rPr>
              <w:t>　</w:t>
            </w:r>
            <w:r>
              <w:rPr>
                <w:rFonts w:hint="eastAsia" w:ascii="宋体" w:hAnsi="宋体"/>
                <w:szCs w:val="21"/>
                <w:u w:val="single"/>
              </w:rPr>
              <w:t xml:space="preserve"> </w:t>
            </w:r>
            <w:r>
              <w:rPr>
                <w:rFonts w:hint="eastAsia" w:ascii="宋体" w:hAnsi="宋体"/>
                <w:szCs w:val="21"/>
                <w:u w:val="single"/>
                <w:lang w:val="en-US" w:eastAsia="zh-CN"/>
              </w:rPr>
              <w:t>1</w:t>
            </w:r>
            <w:r>
              <w:rPr>
                <w:rFonts w:hint="eastAsia" w:ascii="宋体" w:hAnsi="宋体"/>
                <w:szCs w:val="21"/>
                <w:u w:val="single"/>
              </w:rPr>
              <w:t xml:space="preserve">  </w:t>
            </w:r>
            <w:r>
              <w:rPr>
                <w:rFonts w:ascii="宋体" w:hAnsi="宋体"/>
                <w:szCs w:val="21"/>
                <w:u w:val="single"/>
              </w:rPr>
              <w:t>　</w:t>
            </w:r>
            <w:r>
              <w:rPr>
                <w:rFonts w:hint="eastAsia" w:ascii="宋体" w:hAnsi="宋体"/>
                <w:szCs w:val="21"/>
              </w:rPr>
              <w:t>（1～2）</w:t>
            </w:r>
            <w:r>
              <w:rPr>
                <w:rFonts w:ascii="宋体" w:hAnsi="宋体"/>
                <w:szCs w:val="21"/>
              </w:rPr>
              <w:t>分，每减少1%扣</w:t>
            </w:r>
            <w:r>
              <w:rPr>
                <w:rFonts w:ascii="宋体" w:hAnsi="宋体"/>
                <w:szCs w:val="21"/>
                <w:u w:val="single"/>
              </w:rPr>
              <w:t>　</w:t>
            </w:r>
            <w:r>
              <w:rPr>
                <w:rFonts w:hint="eastAsia" w:ascii="宋体" w:hAnsi="宋体"/>
                <w:szCs w:val="21"/>
                <w:u w:val="single"/>
              </w:rPr>
              <w:t xml:space="preserve"> </w:t>
            </w:r>
            <w:r>
              <w:rPr>
                <w:rFonts w:hint="eastAsia" w:ascii="宋体" w:hAnsi="宋体"/>
                <w:szCs w:val="21"/>
                <w:u w:val="single"/>
                <w:lang w:val="en-US" w:eastAsia="zh-CN"/>
              </w:rPr>
              <w:t>0.5</w:t>
            </w:r>
            <w:r>
              <w:rPr>
                <w:rFonts w:hint="eastAsia" w:ascii="宋体" w:hAnsi="宋体"/>
                <w:szCs w:val="21"/>
                <w:u w:val="single"/>
              </w:rPr>
              <w:t xml:space="preserve"> </w:t>
            </w:r>
            <w:r>
              <w:rPr>
                <w:rFonts w:ascii="宋体" w:hAnsi="宋体"/>
                <w:szCs w:val="21"/>
                <w:u w:val="single"/>
              </w:rPr>
              <w:t>　</w:t>
            </w:r>
            <w:r>
              <w:rPr>
                <w:rFonts w:hint="eastAsia" w:ascii="宋体" w:hAnsi="宋体"/>
                <w:szCs w:val="21"/>
              </w:rPr>
              <w:t>（0.5～1）</w:t>
            </w:r>
            <w:r>
              <w:rPr>
                <w:rFonts w:ascii="宋体" w:hAnsi="宋体"/>
                <w:szCs w:val="21"/>
              </w:rPr>
              <w:t>分，扣完为止。</w:t>
            </w:r>
          </w:p>
          <w:p>
            <w:pPr>
              <w:spacing w:line="400" w:lineRule="exact"/>
              <w:ind w:firstLine="420" w:firstLineChars="200"/>
              <w:rPr>
                <w:rFonts w:ascii="宋体" w:hAnsi="宋体"/>
                <w:szCs w:val="21"/>
              </w:rPr>
            </w:pPr>
            <w:r>
              <w:rPr>
                <w:rFonts w:ascii="宋体" w:hAnsi="宋体"/>
                <w:szCs w:val="21"/>
              </w:rPr>
              <w:t>按插入法计算得分。</w:t>
            </w:r>
          </w:p>
          <w:p>
            <w:pPr>
              <w:spacing w:line="400" w:lineRule="exact"/>
              <w:ind w:firstLine="420" w:firstLineChars="200"/>
              <w:rPr>
                <w:rFonts w:ascii="宋体" w:hAnsi="宋体"/>
                <w:szCs w:val="21"/>
              </w:rPr>
            </w:pPr>
            <w:r>
              <w:rPr>
                <w:rFonts w:ascii="宋体" w:hAnsi="宋体"/>
                <w:szCs w:val="21"/>
              </w:rPr>
              <w:t>在偏差范围内，未参与评标基准价计算的投标报价，仍应参加计算相应分值。</w:t>
            </w:r>
          </w:p>
          <w:p>
            <w:pPr>
              <w:spacing w:line="400" w:lineRule="exact"/>
              <w:ind w:firstLine="420" w:firstLineChars="200"/>
              <w:rPr>
                <w:rFonts w:ascii="宋体" w:hAnsi="宋体"/>
                <w:kern w:val="0"/>
                <w:szCs w:val="21"/>
              </w:rPr>
            </w:pPr>
            <w:r>
              <w:rPr>
                <w:rFonts w:hint="eastAsia" w:ascii="宋体" w:hAnsi="宋体"/>
                <w:kern w:val="0"/>
                <w:szCs w:val="21"/>
              </w:rPr>
              <w:t>投标总报价得分最终结果</w:t>
            </w:r>
            <w:r>
              <w:rPr>
                <w:rFonts w:ascii="宋体" w:hAnsi="宋体"/>
                <w:kern w:val="0"/>
                <w:szCs w:val="21"/>
              </w:rPr>
              <w:t>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272" w:type="dxa"/>
            <w:gridSpan w:val="4"/>
            <w:vAlign w:val="center"/>
          </w:tcPr>
          <w:p>
            <w:pPr>
              <w:spacing w:line="400" w:lineRule="exact"/>
              <w:ind w:firstLine="18" w:firstLineChars="9"/>
              <w:jc w:val="center"/>
              <w:rPr>
                <w:rFonts w:ascii="宋体" w:hAnsi="宋体"/>
                <w:szCs w:val="21"/>
              </w:rPr>
            </w:pPr>
            <w:r>
              <w:rPr>
                <w:rFonts w:ascii="宋体" w:hAnsi="宋体"/>
                <w:szCs w:val="21"/>
              </w:rPr>
              <w:t>3.2.3</w:t>
            </w:r>
          </w:p>
        </w:tc>
        <w:tc>
          <w:tcPr>
            <w:tcW w:w="1710" w:type="dxa"/>
            <w:gridSpan w:val="2"/>
            <w:vAlign w:val="center"/>
          </w:tcPr>
          <w:p>
            <w:pPr>
              <w:spacing w:line="400" w:lineRule="exact"/>
              <w:ind w:firstLine="18" w:firstLineChars="9"/>
              <w:jc w:val="center"/>
              <w:rPr>
                <w:rFonts w:ascii="宋体" w:hAnsi="宋体"/>
                <w:szCs w:val="21"/>
              </w:rPr>
            </w:pPr>
            <w:r>
              <w:rPr>
                <w:rFonts w:ascii="宋体" w:hAnsi="宋体"/>
                <w:szCs w:val="21"/>
              </w:rPr>
              <w:t>投标人得分</w:t>
            </w:r>
          </w:p>
        </w:tc>
        <w:tc>
          <w:tcPr>
            <w:tcW w:w="5493" w:type="dxa"/>
            <w:vAlign w:val="center"/>
          </w:tcPr>
          <w:p>
            <w:pPr>
              <w:spacing w:line="400" w:lineRule="exact"/>
              <w:jc w:val="center"/>
              <w:rPr>
                <w:rFonts w:ascii="宋体" w:hAnsi="宋体"/>
                <w:szCs w:val="21"/>
                <w:u w:val="single"/>
              </w:rPr>
            </w:pPr>
            <w:r>
              <w:rPr>
                <w:rFonts w:ascii="宋体" w:hAnsi="宋体"/>
                <w:szCs w:val="21"/>
                <w:u w:val="single"/>
              </w:rPr>
              <w:t>投标人得分=A+B</w:t>
            </w:r>
          </w:p>
        </w:tc>
      </w:tr>
    </w:tbl>
    <w:p>
      <w:pPr>
        <w:pStyle w:val="4"/>
        <w:spacing w:before="0" w:after="0" w:line="360" w:lineRule="auto"/>
        <w:rPr>
          <w:rFonts w:ascii="宋体" w:hAnsi="宋体"/>
          <w:b w:val="0"/>
          <w:snapToGrid w:val="0"/>
        </w:rPr>
      </w:pPr>
      <w:bookmarkStart w:id="406" w:name="_Toc509218776"/>
    </w:p>
    <w:p>
      <w:pPr>
        <w:pStyle w:val="4"/>
        <w:spacing w:before="0" w:after="0" w:line="360" w:lineRule="auto"/>
        <w:rPr>
          <w:rFonts w:ascii="宋体" w:hAnsi="宋体"/>
          <w:b w:val="0"/>
          <w:snapToGrid w:val="0"/>
        </w:rPr>
      </w:pPr>
    </w:p>
    <w:p>
      <w:pPr>
        <w:pStyle w:val="4"/>
        <w:spacing w:before="0" w:after="0" w:line="360" w:lineRule="auto"/>
        <w:rPr>
          <w:rFonts w:ascii="宋体" w:hAnsi="宋体"/>
          <w:b w:val="0"/>
          <w:snapToGrid w:val="0"/>
        </w:rPr>
      </w:pPr>
      <w:r>
        <w:rPr>
          <w:rFonts w:ascii="宋体" w:hAnsi="宋体"/>
          <w:b w:val="0"/>
          <w:snapToGrid w:val="0"/>
        </w:rPr>
        <w:br w:type="page"/>
      </w:r>
      <w:bookmarkStart w:id="407" w:name="_Toc57820627"/>
      <w:r>
        <w:rPr>
          <w:rFonts w:ascii="宋体" w:hAnsi="宋体"/>
          <w:b w:val="0"/>
          <w:snapToGrid w:val="0"/>
        </w:rPr>
        <w:t>1.  评标方法</w:t>
      </w:r>
      <w:bookmarkEnd w:id="406"/>
      <w:bookmarkEnd w:id="407"/>
    </w:p>
    <w:p>
      <w:pPr>
        <w:autoSpaceDE w:val="0"/>
        <w:autoSpaceDN w:val="0"/>
        <w:adjustRightInd w:val="0"/>
        <w:snapToGrid w:val="0"/>
        <w:spacing w:line="360" w:lineRule="auto"/>
        <w:ind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 xml:space="preserve">评标委员会按照本章第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定的评分标准进行打分，按得分由高到低顺序推荐中标候选人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hint="eastAsia" w:ascii="宋体" w:hAnsi="宋体"/>
          <w:kern w:val="0"/>
          <w:szCs w:val="21"/>
        </w:rPr>
        <w:t>，若出现投标人投标报价相同的，以评标办法前附表约定的原则确定排序</w:t>
      </w:r>
      <w:r>
        <w:rPr>
          <w:rFonts w:ascii="宋体" w:hAnsi="宋体"/>
          <w:spacing w:val="-31"/>
          <w:kern w:val="0"/>
          <w:szCs w:val="21"/>
        </w:rPr>
        <w:t>。</w:t>
      </w:r>
    </w:p>
    <w:p>
      <w:pPr>
        <w:pStyle w:val="4"/>
        <w:spacing w:before="0" w:after="0" w:line="360" w:lineRule="auto"/>
        <w:rPr>
          <w:rFonts w:ascii="宋体" w:hAnsi="宋体"/>
          <w:b w:val="0"/>
          <w:snapToGrid w:val="0"/>
        </w:rPr>
      </w:pPr>
      <w:bookmarkStart w:id="408" w:name="_Toc430530501"/>
      <w:bookmarkStart w:id="409" w:name="_Toc287620752"/>
      <w:bookmarkStart w:id="410" w:name="_Toc224103385"/>
      <w:bookmarkStart w:id="411" w:name="_Toc200513199"/>
      <w:bookmarkStart w:id="412" w:name="_Toc509218777"/>
      <w:bookmarkStart w:id="413" w:name="_Toc57820628"/>
      <w:bookmarkStart w:id="414" w:name="_Toc277082619"/>
      <w:bookmarkStart w:id="415" w:name="_Toc287607813"/>
      <w:r>
        <w:rPr>
          <w:rFonts w:ascii="宋体" w:hAnsi="宋体"/>
          <w:b w:val="0"/>
          <w:snapToGrid w:val="0"/>
        </w:rPr>
        <w:t>2.  评审标准</w:t>
      </w:r>
      <w:bookmarkEnd w:id="408"/>
      <w:bookmarkEnd w:id="409"/>
      <w:bookmarkEnd w:id="410"/>
      <w:bookmarkEnd w:id="411"/>
      <w:bookmarkEnd w:id="412"/>
      <w:bookmarkEnd w:id="413"/>
      <w:bookmarkEnd w:id="414"/>
      <w:bookmarkEnd w:id="415"/>
    </w:p>
    <w:p>
      <w:pPr>
        <w:pStyle w:val="5"/>
        <w:snapToGrid w:val="0"/>
        <w:spacing w:before="0" w:after="0" w:line="360" w:lineRule="auto"/>
        <w:rPr>
          <w:rFonts w:ascii="宋体" w:hAnsi="宋体"/>
          <w:b w:val="0"/>
          <w:snapToGrid w:val="0"/>
          <w:sz w:val="24"/>
          <w:szCs w:val="24"/>
        </w:rPr>
      </w:pPr>
      <w:bookmarkStart w:id="416" w:name="_Toc287607814"/>
      <w:bookmarkStart w:id="417" w:name="_Toc430530502"/>
      <w:bookmarkStart w:id="418" w:name="_Toc224103386"/>
      <w:bookmarkStart w:id="419" w:name="_Toc57820629"/>
      <w:bookmarkStart w:id="420" w:name="_Toc277082620"/>
      <w:bookmarkStart w:id="421" w:name="_Toc200513200"/>
      <w:bookmarkStart w:id="422" w:name="_Toc287620753"/>
      <w:bookmarkStart w:id="423" w:name="_Toc509218778"/>
      <w:r>
        <w:rPr>
          <w:rFonts w:ascii="宋体" w:hAnsi="宋体"/>
          <w:b w:val="0"/>
          <w:snapToGrid w:val="0"/>
          <w:sz w:val="24"/>
          <w:szCs w:val="24"/>
        </w:rPr>
        <w:t>2.1  初步评审标准</w:t>
      </w:r>
      <w:bookmarkEnd w:id="416"/>
      <w:bookmarkEnd w:id="417"/>
      <w:bookmarkEnd w:id="418"/>
      <w:bookmarkEnd w:id="419"/>
      <w:bookmarkEnd w:id="420"/>
      <w:bookmarkEnd w:id="421"/>
      <w:bookmarkEnd w:id="422"/>
      <w:bookmarkEnd w:id="423"/>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1A</w:t>
      </w:r>
      <w:r>
        <w:rPr>
          <w:rFonts w:ascii="宋体" w:hAnsi="宋体"/>
          <w:kern w:val="0"/>
          <w:szCs w:val="21"/>
        </w:rPr>
        <w:t xml:space="preserve">  资格评审标准：见评标办法前附表（适用于未进行资格预审的）。</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1B</w:t>
      </w:r>
      <w:r>
        <w:rPr>
          <w:rFonts w:ascii="宋体" w:hAnsi="宋体"/>
          <w:kern w:val="0"/>
          <w:szCs w:val="21"/>
        </w:rPr>
        <w:t xml:space="preserve">  资格评审标准：见资格预审文件第三章“资格审查办法”详细审查标准（适用于已进行资格预审的）。</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w:t>
      </w:r>
      <w:r>
        <w:rPr>
          <w:rFonts w:hint="eastAsia" w:ascii="宋体" w:hAnsi="宋体"/>
          <w:kern w:val="0"/>
          <w:szCs w:val="21"/>
        </w:rPr>
        <w:t>2</w:t>
      </w:r>
      <w:r>
        <w:rPr>
          <w:rFonts w:ascii="宋体" w:hAnsi="宋体"/>
          <w:kern w:val="0"/>
          <w:szCs w:val="21"/>
        </w:rPr>
        <w:t xml:space="preserve">  形式评审标准：见评标办法前附表。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2.1.3  响应性评审标准：见评标办法前附表。</w:t>
      </w:r>
    </w:p>
    <w:p>
      <w:pPr>
        <w:pStyle w:val="5"/>
        <w:snapToGrid w:val="0"/>
        <w:spacing w:before="0" w:after="0" w:line="360" w:lineRule="auto"/>
        <w:rPr>
          <w:rFonts w:ascii="宋体" w:hAnsi="宋体"/>
          <w:b w:val="0"/>
          <w:snapToGrid w:val="0"/>
          <w:sz w:val="24"/>
          <w:szCs w:val="24"/>
        </w:rPr>
      </w:pPr>
      <w:bookmarkStart w:id="424" w:name="_Toc277082621"/>
      <w:bookmarkStart w:id="425" w:name="_Toc224103387"/>
      <w:bookmarkStart w:id="426" w:name="_Toc200513201"/>
      <w:bookmarkStart w:id="427" w:name="_Toc287620754"/>
      <w:bookmarkStart w:id="428" w:name="_Toc509218779"/>
      <w:bookmarkStart w:id="429" w:name="_Toc430530503"/>
      <w:bookmarkStart w:id="430" w:name="_Toc57820630"/>
      <w:bookmarkStart w:id="431" w:name="_Toc287607815"/>
      <w:r>
        <w:rPr>
          <w:rFonts w:ascii="宋体" w:hAnsi="宋体"/>
          <w:b w:val="0"/>
          <w:snapToGrid w:val="0"/>
          <w:sz w:val="24"/>
          <w:szCs w:val="24"/>
        </w:rPr>
        <w:t>2.2  分值构成与评分标准</w:t>
      </w:r>
      <w:bookmarkEnd w:id="424"/>
      <w:bookmarkEnd w:id="425"/>
      <w:bookmarkEnd w:id="426"/>
      <w:bookmarkEnd w:id="427"/>
      <w:bookmarkEnd w:id="428"/>
      <w:bookmarkEnd w:id="429"/>
      <w:bookmarkEnd w:id="430"/>
      <w:bookmarkEnd w:id="431"/>
    </w:p>
    <w:p>
      <w:pPr>
        <w:autoSpaceDE w:val="0"/>
        <w:autoSpaceDN w:val="0"/>
        <w:adjustRightInd w:val="0"/>
        <w:snapToGrid w:val="0"/>
        <w:spacing w:line="360" w:lineRule="auto"/>
        <w:ind w:firstLine="525" w:firstLineChars="250"/>
        <w:rPr>
          <w:rFonts w:ascii="宋体" w:hAnsi="宋体"/>
          <w:kern w:val="0"/>
          <w:szCs w:val="21"/>
        </w:rPr>
      </w:pPr>
      <w:r>
        <w:rPr>
          <w:rFonts w:ascii="宋体" w:hAnsi="宋体"/>
          <w:kern w:val="0"/>
          <w:szCs w:val="21"/>
        </w:rPr>
        <w:t>2.2.1  分值构成</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spacing w:val="1"/>
          <w:kern w:val="0"/>
          <w:szCs w:val="21"/>
        </w:rPr>
        <w:t>2</w:t>
      </w:r>
      <w:r>
        <w:rPr>
          <w:rFonts w:ascii="宋体" w:hAnsi="宋体"/>
          <w:kern w:val="0"/>
          <w:szCs w:val="21"/>
        </w:rPr>
        <w:t>）投标</w:t>
      </w:r>
      <w:r>
        <w:rPr>
          <w:rFonts w:hint="eastAsia" w:ascii="宋体" w:hAnsi="宋体"/>
          <w:kern w:val="0"/>
          <w:szCs w:val="21"/>
        </w:rPr>
        <w:t>总</w:t>
      </w:r>
      <w:r>
        <w:rPr>
          <w:rFonts w:ascii="宋体" w:hAnsi="宋体"/>
          <w:spacing w:val="-1"/>
          <w:kern w:val="0"/>
          <w:szCs w:val="21"/>
        </w:rPr>
        <w:t>报</w:t>
      </w:r>
      <w:r>
        <w:rPr>
          <w:rFonts w:ascii="宋体" w:hAnsi="宋体"/>
          <w:kern w:val="0"/>
          <w:szCs w:val="21"/>
        </w:rPr>
        <w:t>价：见评标办法前附表</w:t>
      </w:r>
      <w:r>
        <w:rPr>
          <w:rFonts w:hint="eastAsia" w:ascii="宋体" w:hAnsi="宋体"/>
          <w:kern w:val="0"/>
          <w:szCs w:val="21"/>
        </w:rPr>
        <w:t>。</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2  评审标准</w:t>
      </w:r>
    </w:p>
    <w:p>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rPr>
        <w:t>（1）</w:t>
      </w:r>
      <w:r>
        <w:rPr>
          <w:rFonts w:ascii="宋体" w:hAnsi="宋体"/>
          <w:kern w:val="0"/>
          <w:szCs w:val="21"/>
        </w:rPr>
        <w:t>技术</w:t>
      </w:r>
      <w:r>
        <w:rPr>
          <w:rFonts w:hint="eastAsia" w:ascii="宋体" w:hAnsi="宋体"/>
          <w:kern w:val="0"/>
          <w:szCs w:val="21"/>
        </w:rPr>
        <w:t>部分</w:t>
      </w:r>
      <w:r>
        <w:rPr>
          <w:rFonts w:ascii="宋体" w:hAnsi="宋体"/>
          <w:kern w:val="0"/>
          <w:szCs w:val="21"/>
        </w:rPr>
        <w:t>评分标准：见评标办法前附表；（对于施工难度大、专业技术复杂的项目，应由招标人会同设计单位提出技术方案编写要点，作为评分标准）。</w:t>
      </w:r>
    </w:p>
    <w:p>
      <w:pPr>
        <w:autoSpaceDE w:val="0"/>
        <w:autoSpaceDN w:val="0"/>
        <w:adjustRightInd w:val="0"/>
        <w:snapToGrid w:val="0"/>
        <w:spacing w:line="360" w:lineRule="auto"/>
        <w:ind w:firstLine="535" w:firstLineChars="255"/>
        <w:rPr>
          <w:rFonts w:ascii="宋体" w:hAnsi="宋体"/>
          <w:kern w:val="0"/>
          <w:szCs w:val="21"/>
        </w:rPr>
      </w:pPr>
      <w:r>
        <w:rPr>
          <w:rFonts w:hint="eastAsia" w:ascii="宋体" w:hAnsi="宋体"/>
          <w:kern w:val="0"/>
          <w:szCs w:val="21"/>
        </w:rPr>
        <w:t>（2）投标函部分及经济部分评审标准：见评标办法前附表；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3</w:t>
      </w:r>
      <w:r>
        <w:rPr>
          <w:rFonts w:ascii="宋体" w:hAnsi="宋体"/>
          <w:kern w:val="0"/>
          <w:szCs w:val="21"/>
        </w:rPr>
        <w:t xml:space="preserve">  评标基准价计算</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评标基准价计算方法：见评标办法前附表。</w:t>
      </w:r>
    </w:p>
    <w:p>
      <w:pPr>
        <w:autoSpaceDE w:val="0"/>
        <w:autoSpaceDN w:val="0"/>
        <w:adjustRightInd w:val="0"/>
        <w:snapToGrid w:val="0"/>
        <w:spacing w:line="360" w:lineRule="auto"/>
        <w:ind w:firstLine="535" w:firstLineChars="255"/>
        <w:rPr>
          <w:rFonts w:ascii="宋体" w:hAnsi="宋体"/>
          <w:kern w:val="0"/>
          <w:szCs w:val="21"/>
        </w:rPr>
      </w:pPr>
      <w:r>
        <w:rPr>
          <w:rFonts w:ascii="宋体" w:hAnsi="宋体"/>
          <w:kern w:val="0"/>
          <w:szCs w:val="21"/>
        </w:rPr>
        <w:t>2.2.</w:t>
      </w:r>
      <w:r>
        <w:rPr>
          <w:rFonts w:hint="eastAsia" w:ascii="宋体" w:hAnsi="宋体"/>
          <w:kern w:val="0"/>
          <w:szCs w:val="21"/>
        </w:rPr>
        <w:t>4</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投标报价的偏差率计算</w:t>
      </w:r>
      <w:r>
        <w:rPr>
          <w:rFonts w:hint="eastAsia" w:ascii="宋体" w:hAnsi="宋体"/>
          <w:kern w:val="0"/>
          <w:szCs w:val="21"/>
        </w:rPr>
        <w:t>和允许偏差范围</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w:t>
      </w:r>
      <w:r>
        <w:rPr>
          <w:rFonts w:ascii="宋体" w:hAnsi="宋体"/>
          <w:kern w:val="0"/>
          <w:szCs w:val="21"/>
        </w:rPr>
        <w:t>投标报价的偏差率计算公式：见评标办法前附表</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（2）投标报价的允许偏差范围</w:t>
      </w:r>
      <w:r>
        <w:rPr>
          <w:rFonts w:ascii="宋体" w:hAnsi="宋体"/>
          <w:kern w:val="0"/>
          <w:szCs w:val="21"/>
        </w:rPr>
        <w:t>：见评标办法前附表</w:t>
      </w:r>
      <w:r>
        <w:rPr>
          <w:rFonts w:hint="eastAsia" w:ascii="宋体" w:hAnsi="宋体"/>
          <w:kern w:val="0"/>
          <w:szCs w:val="21"/>
        </w:rPr>
        <w:t>。</w:t>
      </w:r>
    </w:p>
    <w:p>
      <w:pPr>
        <w:pStyle w:val="4"/>
        <w:spacing w:before="0" w:after="0" w:line="360" w:lineRule="auto"/>
        <w:rPr>
          <w:rFonts w:ascii="宋体" w:hAnsi="宋体"/>
          <w:b w:val="0"/>
          <w:snapToGrid w:val="0"/>
        </w:rPr>
      </w:pPr>
      <w:bookmarkStart w:id="432" w:name="_Toc509218780"/>
      <w:bookmarkStart w:id="433" w:name="_Toc287607816"/>
      <w:bookmarkStart w:id="434" w:name="_Toc430530504"/>
      <w:bookmarkStart w:id="435" w:name="_Toc200513202"/>
      <w:bookmarkStart w:id="436" w:name="_Toc287620755"/>
      <w:bookmarkStart w:id="437" w:name="_Toc224103388"/>
      <w:bookmarkStart w:id="438" w:name="_Toc57820631"/>
      <w:bookmarkStart w:id="439" w:name="_Toc277082622"/>
      <w:r>
        <w:rPr>
          <w:rFonts w:ascii="宋体" w:hAnsi="宋体"/>
          <w:b w:val="0"/>
          <w:snapToGrid w:val="0"/>
        </w:rPr>
        <w:t>3.  评标程序</w:t>
      </w:r>
      <w:bookmarkEnd w:id="432"/>
      <w:bookmarkEnd w:id="433"/>
      <w:bookmarkEnd w:id="434"/>
      <w:bookmarkEnd w:id="435"/>
      <w:bookmarkEnd w:id="436"/>
      <w:bookmarkEnd w:id="437"/>
      <w:bookmarkEnd w:id="438"/>
      <w:bookmarkEnd w:id="439"/>
    </w:p>
    <w:p>
      <w:pPr>
        <w:pStyle w:val="5"/>
        <w:snapToGrid w:val="0"/>
        <w:spacing w:before="0" w:after="0" w:line="360" w:lineRule="auto"/>
        <w:rPr>
          <w:rFonts w:ascii="宋体" w:hAnsi="宋体"/>
          <w:b w:val="0"/>
          <w:snapToGrid w:val="0"/>
          <w:sz w:val="24"/>
          <w:szCs w:val="24"/>
        </w:rPr>
      </w:pPr>
      <w:bookmarkStart w:id="440" w:name="_Toc200513203"/>
      <w:bookmarkStart w:id="441" w:name="_Toc287620756"/>
      <w:bookmarkStart w:id="442" w:name="_Toc277082623"/>
      <w:bookmarkStart w:id="443" w:name="_Toc430530505"/>
      <w:bookmarkStart w:id="444" w:name="_Toc57820632"/>
      <w:bookmarkStart w:id="445" w:name="_Toc224103389"/>
      <w:bookmarkStart w:id="446" w:name="_Toc509218781"/>
      <w:bookmarkStart w:id="447" w:name="_Toc287607817"/>
      <w:r>
        <w:rPr>
          <w:rFonts w:ascii="宋体" w:hAnsi="宋体"/>
          <w:b w:val="0"/>
          <w:snapToGrid w:val="0"/>
          <w:sz w:val="24"/>
          <w:szCs w:val="24"/>
        </w:rPr>
        <w:t>3.1  初步评审</w:t>
      </w:r>
      <w:bookmarkEnd w:id="440"/>
      <w:bookmarkEnd w:id="441"/>
      <w:bookmarkEnd w:id="442"/>
      <w:bookmarkEnd w:id="443"/>
      <w:bookmarkEnd w:id="444"/>
      <w:bookmarkEnd w:id="445"/>
      <w:bookmarkEnd w:id="446"/>
      <w:bookmarkEnd w:id="447"/>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3.1.1  评标委员会依据本章第2.1.1项</w:t>
      </w:r>
      <w:r>
        <w:rPr>
          <w:rFonts w:hint="eastAsia" w:ascii="宋体" w:hAnsi="宋体"/>
          <w:kern w:val="0"/>
          <w:szCs w:val="21"/>
        </w:rPr>
        <w:t>至</w:t>
      </w:r>
      <w:r>
        <w:rPr>
          <w:rFonts w:ascii="宋体" w:hAnsi="宋体"/>
          <w:kern w:val="0"/>
          <w:szCs w:val="21"/>
        </w:rPr>
        <w:t>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“投标人须知”第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3项规定的任何一种情形的；</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hint="eastAsia" w:ascii="宋体" w:hAnsi="宋体" w:cs="宋体"/>
          <w:szCs w:val="21"/>
        </w:rPr>
        <w:t>本次投标有串通投标、弄虚作假等其他违反招投标相关法律、法规行为的</w:t>
      </w:r>
      <w:r>
        <w:rPr>
          <w:rFonts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hint="eastAsia" w:ascii="宋体" w:hAnsi="宋体"/>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3.1.3  投标报价有算术错误的，评标委员会按以下原则对投标报价进行修正，修正的价格经投标人书面确认后具有约束力</w:t>
      </w:r>
      <w:r>
        <w:rPr>
          <w:rFonts w:hint="eastAsia" w:ascii="宋体" w:hAnsi="宋体"/>
          <w:kern w:val="0"/>
          <w:szCs w:val="21"/>
        </w:rPr>
        <w:t>，修正原则如下：</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（1）投标文件中的大写金额与小写金额不一致的，以大写金额为准；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投标函中的总报价与已标价工程量清单总报价不一致，且工程量清单总报价与依据单价、工程数量、分部分项工程合价计算出的结果</w:t>
      </w:r>
      <w:r>
        <w:rPr>
          <w:rFonts w:ascii="宋体" w:hAnsi="宋体"/>
          <w:kern w:val="0"/>
          <w:szCs w:val="21"/>
        </w:rPr>
        <w:t>不一致的，</w:t>
      </w:r>
      <w:r>
        <w:rPr>
          <w:rFonts w:hint="eastAsia" w:ascii="宋体" w:hAnsi="宋体"/>
          <w:kern w:val="0"/>
          <w:szCs w:val="21"/>
        </w:rPr>
        <w:t>由评标委员会作否决投标处理</w:t>
      </w:r>
      <w:r>
        <w:rPr>
          <w:rFonts w:ascii="宋体" w:hAnsi="宋体"/>
          <w:kern w:val="0"/>
          <w:szCs w:val="21"/>
        </w:rPr>
        <w:t>。</w:t>
      </w:r>
    </w:p>
    <w:p>
      <w:pPr>
        <w:pStyle w:val="5"/>
        <w:snapToGrid w:val="0"/>
        <w:spacing w:before="0" w:after="0" w:line="360" w:lineRule="auto"/>
        <w:rPr>
          <w:rFonts w:ascii="宋体" w:hAnsi="宋体"/>
          <w:b w:val="0"/>
          <w:snapToGrid w:val="0"/>
          <w:sz w:val="24"/>
          <w:szCs w:val="24"/>
        </w:rPr>
      </w:pPr>
      <w:bookmarkStart w:id="448" w:name="_Toc287620757"/>
      <w:bookmarkStart w:id="449" w:name="_Toc509218782"/>
      <w:bookmarkStart w:id="450" w:name="_Toc57820633"/>
      <w:bookmarkStart w:id="451" w:name="_Toc277082624"/>
      <w:bookmarkStart w:id="452" w:name="_Toc224103390"/>
      <w:bookmarkStart w:id="453" w:name="_Toc430530506"/>
      <w:bookmarkStart w:id="454" w:name="_Toc200513204"/>
      <w:bookmarkStart w:id="455" w:name="_Toc287607818"/>
      <w:r>
        <w:rPr>
          <w:rFonts w:ascii="宋体" w:hAnsi="宋体"/>
          <w:b w:val="0"/>
          <w:snapToGrid w:val="0"/>
          <w:sz w:val="24"/>
          <w:szCs w:val="24"/>
        </w:rPr>
        <w:t>3.2  详细评审</w:t>
      </w:r>
      <w:bookmarkEnd w:id="448"/>
      <w:bookmarkEnd w:id="449"/>
      <w:bookmarkEnd w:id="450"/>
      <w:bookmarkEnd w:id="451"/>
      <w:bookmarkEnd w:id="452"/>
      <w:bookmarkEnd w:id="453"/>
      <w:bookmarkEnd w:id="454"/>
      <w:bookmarkEnd w:id="455"/>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3.2.1  评标委员会按本章第2.2款规定的量化因素和分值进行打分，并计算出综合评估得分。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）按本章第3.2.1（</w:t>
      </w:r>
      <w:r>
        <w:rPr>
          <w:rFonts w:hint="eastAsia" w:ascii="宋体" w:hAnsi="宋体"/>
          <w:kern w:val="0"/>
          <w:szCs w:val="21"/>
        </w:rPr>
        <w:t>1</w:t>
      </w:r>
      <w:r>
        <w:rPr>
          <w:rFonts w:ascii="宋体" w:hAnsi="宋体"/>
          <w:kern w:val="0"/>
          <w:szCs w:val="21"/>
        </w:rPr>
        <w:t>）目规定的评审因素和分值对技术</w:t>
      </w:r>
      <w:r>
        <w:rPr>
          <w:rFonts w:hint="eastAsia" w:ascii="宋体" w:hAnsi="宋体"/>
          <w:kern w:val="0"/>
          <w:szCs w:val="21"/>
        </w:rPr>
        <w:t>部分</w:t>
      </w:r>
      <w:r>
        <w:rPr>
          <w:rFonts w:ascii="宋体" w:hAnsi="宋体"/>
          <w:kern w:val="0"/>
          <w:szCs w:val="21"/>
        </w:rPr>
        <w:t>计算出得分</w:t>
      </w:r>
      <w:r>
        <w:rPr>
          <w:rFonts w:hint="eastAsia" w:ascii="宋体" w:hAnsi="宋体"/>
          <w:kern w:val="0"/>
          <w:szCs w:val="21"/>
        </w:rPr>
        <w:t>A（</w:t>
      </w:r>
      <w:r>
        <w:rPr>
          <w:rFonts w:ascii="宋体" w:hAnsi="宋体"/>
          <w:snapToGrid w:val="0"/>
          <w:kern w:val="0"/>
          <w:szCs w:val="21"/>
        </w:rPr>
        <w:t>所有评委打分中去掉一个最高和一个最低分，余下评委打分取算术平均值为该投标人技术</w:t>
      </w:r>
      <w:r>
        <w:rPr>
          <w:rFonts w:hint="eastAsia" w:ascii="宋体" w:hAnsi="宋体"/>
          <w:snapToGrid w:val="0"/>
          <w:kern w:val="0"/>
          <w:szCs w:val="21"/>
        </w:rPr>
        <w:t>部分</w:t>
      </w:r>
      <w:r>
        <w:rPr>
          <w:rFonts w:ascii="宋体" w:hAnsi="宋体"/>
          <w:snapToGrid w:val="0"/>
          <w:kern w:val="0"/>
          <w:szCs w:val="21"/>
        </w:rPr>
        <w:t>得分。</w:t>
      </w:r>
      <w:r>
        <w:rPr>
          <w:rFonts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w:t>
      </w:r>
      <w:r>
        <w:rPr>
          <w:rFonts w:hint="eastAsia" w:ascii="宋体" w:hAnsi="宋体"/>
          <w:kern w:val="0"/>
          <w:szCs w:val="21"/>
        </w:rPr>
        <w:t>2</w:t>
      </w:r>
      <w:r>
        <w:rPr>
          <w:rFonts w:ascii="宋体" w:hAnsi="宋体"/>
          <w:kern w:val="0"/>
          <w:szCs w:val="21"/>
        </w:rPr>
        <w:t>）按本章第3.2.1（</w:t>
      </w:r>
      <w:r>
        <w:rPr>
          <w:rFonts w:hint="eastAsia" w:ascii="宋体" w:hAnsi="宋体"/>
          <w:kern w:val="0"/>
          <w:szCs w:val="21"/>
        </w:rPr>
        <w:t>2</w:t>
      </w:r>
      <w:r>
        <w:rPr>
          <w:rFonts w:ascii="宋体" w:hAnsi="宋体"/>
          <w:kern w:val="0"/>
          <w:szCs w:val="21"/>
        </w:rPr>
        <w:t>）目规定的评审因素和分值对投标总报价计算出得分</w:t>
      </w:r>
      <w:r>
        <w:rPr>
          <w:rFonts w:hint="eastAsia" w:ascii="宋体" w:hAnsi="宋体"/>
          <w:kern w:val="0"/>
          <w:szCs w:val="21"/>
        </w:rPr>
        <w:t>B。</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3.2.3  投标人得分=A+B</w:t>
      </w:r>
      <w:r>
        <w:rPr>
          <w:rFonts w:hint="eastAsia" w:ascii="宋体" w:hAnsi="宋体"/>
          <w:kern w:val="0"/>
          <w:szCs w:val="21"/>
        </w:rPr>
        <w:t>。</w:t>
      </w:r>
    </w:p>
    <w:p>
      <w:pPr>
        <w:pStyle w:val="5"/>
        <w:snapToGrid w:val="0"/>
        <w:spacing w:before="0" w:after="0" w:line="360" w:lineRule="auto"/>
        <w:rPr>
          <w:rFonts w:ascii="宋体" w:hAnsi="宋体"/>
          <w:b w:val="0"/>
          <w:snapToGrid w:val="0"/>
          <w:sz w:val="24"/>
          <w:szCs w:val="24"/>
        </w:rPr>
      </w:pPr>
      <w:bookmarkStart w:id="456" w:name="_Toc430530507"/>
      <w:bookmarkStart w:id="457" w:name="_Toc287620758"/>
      <w:bookmarkStart w:id="458" w:name="_Toc287607819"/>
      <w:bookmarkStart w:id="459" w:name="_Toc277082625"/>
      <w:bookmarkStart w:id="460" w:name="_Toc224103391"/>
      <w:bookmarkStart w:id="461" w:name="_Toc509218783"/>
      <w:bookmarkStart w:id="462" w:name="_Toc200513205"/>
      <w:bookmarkStart w:id="463" w:name="_Toc57820634"/>
      <w:r>
        <w:rPr>
          <w:rFonts w:ascii="宋体" w:hAnsi="宋体"/>
          <w:b w:val="0"/>
          <w:snapToGrid w:val="0"/>
          <w:sz w:val="24"/>
          <w:szCs w:val="24"/>
        </w:rPr>
        <w:t>3.3  投标文件的澄清和补正</w:t>
      </w:r>
      <w:bookmarkEnd w:id="456"/>
      <w:bookmarkEnd w:id="457"/>
      <w:bookmarkEnd w:id="458"/>
      <w:bookmarkEnd w:id="459"/>
      <w:bookmarkEnd w:id="460"/>
      <w:bookmarkEnd w:id="461"/>
      <w:bookmarkEnd w:id="462"/>
      <w:bookmarkEnd w:id="463"/>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3.3.3  评标委员会对投标人提交的澄清、说明或补正有疑问的，可以要求投标人进一步澄清、说明或补正，直至满足评标委员会的要求。</w:t>
      </w:r>
    </w:p>
    <w:p>
      <w:pPr>
        <w:pStyle w:val="5"/>
        <w:snapToGrid w:val="0"/>
        <w:spacing w:before="0" w:after="0" w:line="360" w:lineRule="auto"/>
        <w:rPr>
          <w:rFonts w:ascii="宋体" w:hAnsi="宋体"/>
          <w:b w:val="0"/>
          <w:snapToGrid w:val="0"/>
          <w:sz w:val="24"/>
          <w:szCs w:val="24"/>
        </w:rPr>
      </w:pPr>
      <w:bookmarkStart w:id="464" w:name="_Toc224103392"/>
      <w:bookmarkStart w:id="465" w:name="_Toc509218784"/>
      <w:bookmarkStart w:id="466" w:name="_Toc287620759"/>
      <w:bookmarkStart w:id="467" w:name="_Toc287607820"/>
      <w:bookmarkStart w:id="468" w:name="_Toc200513206"/>
      <w:bookmarkStart w:id="469" w:name="_Toc430530508"/>
      <w:bookmarkStart w:id="470" w:name="_Toc57820635"/>
      <w:bookmarkStart w:id="471" w:name="_Toc277082626"/>
      <w:r>
        <w:rPr>
          <w:rFonts w:ascii="宋体" w:hAnsi="宋体"/>
          <w:b w:val="0"/>
          <w:snapToGrid w:val="0"/>
          <w:sz w:val="24"/>
          <w:szCs w:val="24"/>
        </w:rPr>
        <w:t>3.4  评标结果</w:t>
      </w:r>
      <w:bookmarkEnd w:id="464"/>
      <w:bookmarkEnd w:id="465"/>
      <w:bookmarkEnd w:id="466"/>
      <w:bookmarkEnd w:id="467"/>
      <w:bookmarkEnd w:id="468"/>
      <w:bookmarkEnd w:id="469"/>
      <w:bookmarkEnd w:id="470"/>
      <w:bookmarkEnd w:id="471"/>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pPr>
        <w:autoSpaceDE w:val="0"/>
        <w:autoSpaceDN w:val="0"/>
        <w:adjustRightInd w:val="0"/>
        <w:snapToGrid w:val="0"/>
        <w:spacing w:line="360" w:lineRule="auto"/>
        <w:ind w:firstLine="424" w:firstLineChars="200"/>
        <w:rPr>
          <w:rFonts w:ascii="宋体" w:hAnsi="宋体"/>
          <w:kern w:val="0"/>
          <w:sz w:val="20"/>
          <w:szCs w:val="20"/>
        </w:rPr>
      </w:pPr>
      <w:r>
        <w:rPr>
          <w:rFonts w:ascii="宋体" w:hAnsi="宋体"/>
          <w:spacing w:val="1"/>
          <w:kern w:val="0"/>
          <w:szCs w:val="21"/>
        </w:rPr>
        <w:t>3</w:t>
      </w:r>
      <w:r>
        <w:rPr>
          <w:rFonts w:ascii="宋体" w:hAnsi="宋体"/>
          <w:kern w:val="0"/>
          <w:szCs w:val="21"/>
        </w:rPr>
        <w:t>.4.2  评标</w:t>
      </w:r>
      <w:r>
        <w:rPr>
          <w:rFonts w:ascii="宋体" w:hAnsi="宋体"/>
          <w:spacing w:val="-1"/>
          <w:kern w:val="0"/>
          <w:szCs w:val="21"/>
        </w:rPr>
        <w:t>委</w:t>
      </w:r>
      <w:r>
        <w:rPr>
          <w:rFonts w:ascii="宋体" w:hAnsi="宋体"/>
          <w:kern w:val="0"/>
          <w:szCs w:val="21"/>
        </w:rPr>
        <w:t>员会完成评标后，应当向招标人提交书面评标报告。</w:t>
      </w:r>
    </w:p>
    <w:p>
      <w:pPr>
        <w:spacing w:line="360" w:lineRule="auto"/>
        <w:rPr>
          <w:rFonts w:ascii="宋体" w:hAnsi="宋体"/>
          <w:b/>
          <w:szCs w:val="20"/>
        </w:rPr>
      </w:pPr>
      <w:r>
        <w:rPr>
          <w:rFonts w:ascii="宋体" w:hAnsi="宋体"/>
          <w:kern w:val="0"/>
          <w:sz w:val="20"/>
          <w:szCs w:val="20"/>
        </w:rPr>
        <w:br w:type="page"/>
      </w:r>
    </w:p>
    <w:p>
      <w:pPr>
        <w:pStyle w:val="33"/>
        <w:spacing w:line="360" w:lineRule="auto"/>
        <w:rPr>
          <w:rFonts w:ascii="宋体" w:hAnsi="宋体"/>
          <w:b/>
          <w:sz w:val="28"/>
          <w:szCs w:val="28"/>
          <w:u w:val="none"/>
          <w:lang w:eastAsia="zh-CN"/>
        </w:rPr>
      </w:pPr>
      <w:bookmarkStart w:id="472" w:name="招标文件03章02评标办法综合评估法02附件02"/>
      <w:bookmarkEnd w:id="472"/>
      <w:bookmarkStart w:id="473" w:name="招标文件04章合同条款及格式"/>
      <w:bookmarkEnd w:id="473"/>
      <w:bookmarkStart w:id="474" w:name="_Toc230410480"/>
      <w:bookmarkStart w:id="475" w:name="_Toc277082627"/>
      <w:r>
        <w:rPr>
          <w:rFonts w:ascii="宋体" w:hAnsi="宋体"/>
          <w:b/>
          <w:sz w:val="28"/>
          <w:szCs w:val="28"/>
          <w:u w:val="none"/>
          <w:lang w:eastAsia="zh-CN"/>
        </w:rPr>
        <w:t>附件A：综合评估法否决投标情况一览表</w:t>
      </w:r>
      <w:bookmarkEnd w:id="474"/>
    </w:p>
    <w:bookmarkEnd w:id="475"/>
    <w:p>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rPr>
            </w:pPr>
            <w:r>
              <w:rPr>
                <w:rFonts w:ascii="宋体" w:hAnsi="宋体"/>
                <w:b/>
                <w:szCs w:val="21"/>
              </w:rPr>
              <w:t>章节号</w:t>
            </w:r>
          </w:p>
        </w:tc>
        <w:tc>
          <w:tcPr>
            <w:tcW w:w="1899"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szCs w:val="21"/>
              </w:rPr>
            </w:pPr>
            <w:r>
              <w:rPr>
                <w:rFonts w:hint="eastAsia" w:ascii="宋体" w:hAnsi="宋体"/>
                <w:szCs w:val="21"/>
              </w:rPr>
              <w:t>第三章</w:t>
            </w:r>
          </w:p>
        </w:tc>
        <w:tc>
          <w:tcPr>
            <w:tcW w:w="1899" w:type="dxa"/>
            <w:vMerge w:val="restart"/>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A-1投标人的资质条件、营业执照及安全生产条件须满足投标人须知前附表1.4.1项第1条的要求，否则由评标委员会作否决投标处理。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A-6投标人的其他要求须满足投标人须知前附表1.4.1项第6条的要求，否则由评标委员会作否决投标处理。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A-7若有联合体投标人，则：</w:t>
            </w:r>
          </w:p>
          <w:p>
            <w:pPr>
              <w:spacing w:line="400" w:lineRule="exact"/>
              <w:ind w:firstLine="420" w:firstLineChars="200"/>
              <w:rPr>
                <w:rFonts w:ascii="宋体" w:hAnsi="宋体"/>
                <w:szCs w:val="21"/>
              </w:rPr>
            </w:pPr>
            <w:r>
              <w:rPr>
                <w:rFonts w:hint="eastAsia" w:ascii="宋体" w:hAnsi="宋体"/>
                <w:szCs w:val="21"/>
              </w:rPr>
              <w:t>（1）联合体各方应按照招标文件提供的格式签订联合体协议书，明确联合体牵头人和各方权利义务；</w:t>
            </w:r>
          </w:p>
          <w:p>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A-8投标人名称必须与营业执照、资质证书、安全生产许可证一致，依法变更名称的应提交相应证明材料，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A-9投标文件格式（不含投标函部分）符合第二章“投标人须知”第3.7款的要求，否则由评标委员会作否决投标处理。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szCs w:val="21"/>
              </w:rPr>
              <w:t>编制投标文件时不得对第八章“投标文件格式”的相应要素作实质性修改，否则视为重大偏差，由评标委员会作否决投标处理。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-10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A-11第八章 投标文件格式（不含投标函部分）要求法定代表人或其委托代理人签名（或盖章）的须齐全，否则由评标委员会作否决投标处理。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A-12投标人法定代表人的委托代理人有法定代表人签署的授权委托书和投标人为其缴纳的养老保险证明材料，否则由评标委员会作否决投标处理。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A-13投标内容符合第二章“投标人须知”第1.3.1项规定，否则由评标委员会作否决投标处理。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A-14投标人应按投标人须知前附表第3.4款规定递交投标保证金，并作为其投标文件的组成部分，否则由评标委员会作否决投标处理。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A-15符合第四章“合同条款及格式”规定，投标文件不应附有招标人不能接受的条件。否则由评标委员会作否决投标处理。（由投标人承诺，承诺书格式详见第八章投标文件格式。）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A-16符合第七章“技术标准和要求”规定。否则由评标委员会作否决投标处理（如有）。（由投标人承诺，承诺书格式详见第八章投标文件格式。）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A-17投标人有以下情形之一的，其投标文件由评标委员会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restart"/>
            <w:vAlign w:val="center"/>
          </w:tcPr>
          <w:p>
            <w:pPr>
              <w:spacing w:line="400" w:lineRule="exact"/>
              <w:jc w:val="center"/>
              <w:rPr>
                <w:rFonts w:ascii="宋体" w:hAnsi="宋体"/>
                <w:szCs w:val="21"/>
              </w:rPr>
            </w:pPr>
            <w:r>
              <w:rPr>
                <w:rFonts w:hint="eastAsia" w:ascii="宋体" w:hAnsi="宋体"/>
                <w:szCs w:val="21"/>
              </w:rPr>
              <w:t>投标函部分及经济部分评审</w:t>
            </w:r>
          </w:p>
        </w:tc>
        <w:tc>
          <w:tcPr>
            <w:tcW w:w="6333" w:type="dxa"/>
          </w:tcPr>
          <w:p>
            <w:pPr>
              <w:spacing w:line="400" w:lineRule="exact"/>
              <w:ind w:firstLine="420" w:firstLineChars="200"/>
              <w:rPr>
                <w:rFonts w:ascii="宋体" w:hAnsi="宋体"/>
                <w:szCs w:val="21"/>
              </w:rPr>
            </w:pPr>
            <w:r>
              <w:rPr>
                <w:rFonts w:hint="eastAsia" w:ascii="宋体" w:hAnsi="宋体"/>
                <w:szCs w:val="21"/>
              </w:rPr>
              <w:t>A-18</w:t>
            </w:r>
            <w:r>
              <w:rPr>
                <w:rFonts w:hint="eastAsia" w:ascii="宋体" w:hAnsi="宋体" w:cs="宋体"/>
                <w:kern w:val="0"/>
              </w:rPr>
              <w:t>投标函部分的格式要求法定代表人或其委托代理人签名（或盖章）的须齐全，要求加盖单位法人章的，应使用 CA 数字证书加盖投标人的单位电子印章</w:t>
            </w:r>
            <w:r>
              <w:rPr>
                <w:rFonts w:hint="eastAsia" w:ascii="宋体" w:hAnsi="宋体"/>
                <w:szCs w:val="21"/>
              </w:rPr>
              <w:t>，否则由评标委员会作否决投标处理。</w:t>
            </w:r>
          </w:p>
          <w:p>
            <w:pPr>
              <w:spacing w:line="400" w:lineRule="exact"/>
              <w:ind w:firstLine="420" w:firstLineChars="200"/>
              <w:rPr>
                <w:rFonts w:ascii="宋体" w:hAnsi="宋体"/>
                <w:i/>
                <w:szCs w:val="21"/>
              </w:rPr>
            </w:pPr>
            <w:r>
              <w:rPr>
                <w:rFonts w:hint="eastAsia" w:ascii="宋体" w:hAnsi="宋体"/>
                <w:szCs w:val="21"/>
              </w:rPr>
              <w:t>联合体投标的，投标函部分的格式中要求投标人加盖单位法人章的，均由联合体牵头人使用 CA 数字证书加盖其单位电子印章，否则由评标委员会作否决投标处理。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A-19工期符合第二章“投标人须知”第1.3.2项规定，否则由评标委员会作否决投标处理。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A-20工程质量符合第二章“投标人须知”第1.3.3项规定，否则由评标委员会作否决投标处理。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A-21投标有效期符合第二章“投标人须知”第3.3.1项规定，否则由评标委员会作否决投标处理。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i/>
                <w:szCs w:val="21"/>
              </w:rPr>
            </w:pPr>
            <w:r>
              <w:rPr>
                <w:rFonts w:hint="eastAsia" w:ascii="宋体" w:hAnsi="宋体"/>
                <w:szCs w:val="21"/>
              </w:rPr>
              <w:t>A-22投标函中的总报价必须与已标价工程量清单总报价一致,且工程量清单总报价与依据单价、工程数量、分部分项工程合价计算出的结果应一致，否则由评标委员会作否决投标处理。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i/>
                <w:szCs w:val="21"/>
              </w:rPr>
            </w:pPr>
            <w:r>
              <w:rPr>
                <w:rFonts w:hint="eastAsia" w:ascii="宋体" w:hAnsi="宋体"/>
                <w:szCs w:val="21"/>
              </w:rPr>
              <w:t>A-23投标人的投标总报价不得超过投标总报价最高限价，否则由评标委员会作否决投标处理。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A-24投标函中的安全文明施工费必须按照招标人给出的暂定金额填报，否则视为对招标文件不作实质性响应，其投标文件由评标委员会作否决投标处理。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A-25只能有一个有效报价。在招标文件没有规定的情况下，不得提交选择性报价，否则由评标委员会作否决投标处理。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i/>
                <w:szCs w:val="21"/>
              </w:rPr>
            </w:pPr>
            <w:r>
              <w:rPr>
                <w:rFonts w:hint="eastAsia" w:ascii="宋体" w:hAnsi="宋体"/>
                <w:szCs w:val="21"/>
              </w:rPr>
              <w:t>A-26投标人必须按招标工程量清单填报价格。项目编码、项目名称、项目特征、计量单位、工程量必须与招标工程量清单一致。否则交由评标委员会作否决投标处理。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A-27招标人在工程量清单中所列出的价格（包括暂列金额、暂估价等），投标人不得修改，否则由评标委员会作否决投标处理。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i/>
                <w:szCs w:val="21"/>
              </w:rPr>
            </w:pPr>
            <w:r>
              <w:rPr>
                <w:rFonts w:hint="eastAsia" w:ascii="宋体" w:hAnsi="宋体"/>
                <w:szCs w:val="21"/>
              </w:rPr>
              <w:t>A-28投标人的每项清单综合单价报价不得超过每项清单综合单价最高限价，否则由评标委员会作否决投标处理。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rPr>
            </w:pPr>
          </w:p>
        </w:tc>
        <w:tc>
          <w:tcPr>
            <w:tcW w:w="1899"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i/>
                <w:szCs w:val="21"/>
              </w:rPr>
            </w:pPr>
            <w:r>
              <w:rPr>
                <w:rFonts w:hint="eastAsia" w:ascii="宋体" w:hAnsi="宋体"/>
                <w:szCs w:val="21"/>
              </w:rPr>
              <w:t>A-29投标报价有算术错误的，按照第三章3.评标程序第3.1.3项规定执行，否则由评标委员会作否决投标处理。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szCs w:val="21"/>
              </w:rPr>
            </w:pPr>
            <w:r>
              <w:rPr>
                <w:rFonts w:ascii="宋体" w:hAnsi="宋体"/>
                <w:szCs w:val="21"/>
              </w:rPr>
              <w:t>其他</w:t>
            </w:r>
          </w:p>
        </w:tc>
        <w:tc>
          <w:tcPr>
            <w:tcW w:w="1899" w:type="dxa"/>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hint="default" w:ascii="宋体" w:hAnsi="宋体" w:eastAsia="宋体"/>
                <w:i/>
                <w:szCs w:val="21"/>
                <w:lang w:val="en-US" w:eastAsia="zh-CN"/>
              </w:rPr>
            </w:pPr>
            <w:r>
              <w:rPr>
                <w:rFonts w:hint="eastAsia" w:ascii="宋体" w:hAnsi="宋体"/>
                <w:i/>
                <w:szCs w:val="21"/>
                <w:lang w:val="en-US" w:eastAsia="zh-CN"/>
              </w:rPr>
              <w:t>/</w:t>
            </w:r>
          </w:p>
        </w:tc>
      </w:tr>
    </w:tbl>
    <w:p>
      <w:pPr>
        <w:pStyle w:val="3"/>
        <w:spacing w:line="360" w:lineRule="auto"/>
        <w:jc w:val="center"/>
        <w:rPr>
          <w:rFonts w:hint="eastAsia" w:ascii="宋体" w:hAnsi="宋体"/>
          <w:kern w:val="0"/>
        </w:rPr>
        <w:sectPr>
          <w:pgSz w:w="11906" w:h="16838"/>
          <w:pgMar w:top="1304" w:right="1134" w:bottom="1304" w:left="1304" w:header="851" w:footer="992" w:gutter="0"/>
          <w:cols w:space="720" w:num="1"/>
          <w:docGrid w:type="lines" w:linePitch="312" w:charSpace="0"/>
        </w:sectPr>
      </w:pPr>
    </w:p>
    <w:p>
      <w:pPr>
        <w:pStyle w:val="3"/>
        <w:spacing w:line="360" w:lineRule="auto"/>
        <w:jc w:val="center"/>
        <w:rPr>
          <w:rFonts w:ascii="宋体" w:hAnsi="宋体"/>
          <w:kern w:val="0"/>
        </w:rPr>
      </w:pPr>
      <w:r>
        <w:rPr>
          <w:rFonts w:hint="eastAsia" w:ascii="宋体" w:hAnsi="宋体"/>
          <w:kern w:val="0"/>
        </w:rPr>
        <w:t>第四章  合同条款及格式</w:t>
      </w:r>
      <w:bookmarkEnd w:id="396"/>
      <w:bookmarkEnd w:id="397"/>
      <w:bookmarkEnd w:id="398"/>
    </w:p>
    <w:p>
      <w:pPr>
        <w:rPr>
          <w:rFonts w:ascii="宋体" w:hAnsi="宋体"/>
          <w:sz w:val="44"/>
          <w:szCs w:val="44"/>
        </w:rPr>
      </w:pPr>
      <w:r>
        <mc:AlternateContent>
          <mc:Choice Requires="wps">
            <w:drawing>
              <wp:anchor distT="0" distB="0" distL="0" distR="0" simplePos="0" relativeHeight="251659264" behindDoc="0" locked="0" layoutInCell="1" allowOverlap="1">
                <wp:simplePos x="0" y="0"/>
                <wp:positionH relativeFrom="column">
                  <wp:posOffset>2633980</wp:posOffset>
                </wp:positionH>
                <wp:positionV relativeFrom="paragraph">
                  <wp:posOffset>9334500</wp:posOffset>
                </wp:positionV>
                <wp:extent cx="76200" cy="76200"/>
                <wp:effectExtent l="0" t="0" r="0" b="0"/>
                <wp:wrapNone/>
                <wp:docPr id="1026" name="矩形 130"/>
                <wp:cNvGraphicFramePr/>
                <a:graphic xmlns:a="http://schemas.openxmlformats.org/drawingml/2006/main">
                  <a:graphicData uri="http://schemas.microsoft.com/office/word/2010/wordprocessingShape">
                    <wps:wsp>
                      <wps:cNvSpPr/>
                      <wps:spPr>
                        <a:xfrm flipH="1">
                          <a:off x="0" y="0"/>
                          <a:ext cx="76200" cy="76200"/>
                        </a:xfrm>
                        <a:prstGeom prst="rect">
                          <a:avLst/>
                        </a:prstGeom>
                        <a:solidFill>
                          <a:srgbClr val="FFFFFF"/>
                        </a:solidFill>
                        <a:ln>
                          <a:noFill/>
                        </a:ln>
                      </wps:spPr>
                      <wps:txbx>
                        <w:txbxContent>
                          <w:p/>
                        </w:txbxContent>
                      </wps:txbx>
                      <wps:bodyPr wrap="square" upright="1"/>
                    </wps:wsp>
                  </a:graphicData>
                </a:graphic>
              </wp:anchor>
            </w:drawing>
          </mc:Choice>
          <mc:Fallback>
            <w:pict>
              <v:rect id="矩形 130" o:spid="_x0000_s1026" o:spt="1" style="position:absolute;left:0pt;flip:x;margin-left:207.4pt;margin-top:735pt;height:6pt;width:6pt;z-index:251659264;mso-width-relative:page;mso-height-relative:page;" fillcolor="#FFFFFF" filled="t" stroked="f" coordsize="21600,21600" o:gfxdata="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UKfIjZAAAADQEAAA8AAAAAAAAAAQAgAAAAIgAAAGRycy9kb3du&#10;cmV2LnhtbFBLAQIUABQAAAAIAIdO4kCAPRFjxQEAAIQDAAAOAAAAAAAAAAEAIAAAACgBAABkcnMv&#10;ZTJvRG9jLnhtbFBLBQYAAAAABgAGAFkBAABfBQAAAAA=&#10;">
                <v:fill on="t" focussize="0,0"/>
                <v:stroke on="f"/>
                <v:imagedata o:title=""/>
                <o:lock v:ext="edit" aspectratio="f"/>
                <v:textbox>
                  <w:txbxContent>
                    <w:p/>
                  </w:txbxContent>
                </v:textbox>
              </v:rect>
            </w:pict>
          </mc:Fallback>
        </mc:AlternateContent>
      </w:r>
      <w:r>
        <w:rPr>
          <w:rFonts w:ascii="宋体" w:hAnsi="宋体"/>
        </w:rPr>
        <w:br w:type="page"/>
      </w:r>
      <w:bookmarkStart w:id="476" w:name="_Toc351203480"/>
      <w:bookmarkStart w:id="477" w:name="_Toc296503025"/>
      <w:bookmarkStart w:id="478" w:name="_Toc296890982"/>
    </w:p>
    <w:p>
      <w:pPr>
        <w:spacing w:line="560" w:lineRule="exact"/>
        <w:jc w:val="center"/>
        <w:rPr>
          <w:rFonts w:ascii="方正仿宋_GBK" w:hAnsi="方正仿宋_GBK" w:eastAsia="方正仿宋_GBK" w:cs="方正仿宋_GBK"/>
          <w:b/>
          <w:bCs/>
          <w:sz w:val="36"/>
          <w:szCs w:val="36"/>
          <w:lang w:val="zh-TW" w:eastAsia="zh-TW"/>
        </w:rPr>
      </w:pPr>
      <w:bookmarkStart w:id="479" w:name="_Toc14710"/>
      <w:bookmarkStart w:id="480" w:name="_Toc529388289"/>
      <w:bookmarkStart w:id="481" w:name="_Toc532375586"/>
      <w:bookmarkStart w:id="482" w:name="_Toc532377179"/>
      <w:bookmarkStart w:id="483" w:name="_Toc351203632"/>
      <w:r>
        <w:rPr>
          <w:rFonts w:hint="eastAsia" w:asciiTheme="majorEastAsia" w:hAnsiTheme="majorEastAsia" w:eastAsiaTheme="majorEastAsia" w:cstheme="majorEastAsia"/>
          <w:b w:val="0"/>
          <w:bCs w:val="0"/>
          <w:sz w:val="44"/>
          <w:szCs w:val="44"/>
          <w:lang w:val="zh-TW"/>
        </w:rPr>
        <w:t>临时用工施工</w:t>
      </w:r>
      <w:r>
        <w:rPr>
          <w:rFonts w:hint="eastAsia" w:asciiTheme="majorEastAsia" w:hAnsiTheme="majorEastAsia" w:eastAsiaTheme="majorEastAsia" w:cstheme="majorEastAsia"/>
          <w:b w:val="0"/>
          <w:bCs w:val="0"/>
          <w:sz w:val="44"/>
          <w:szCs w:val="44"/>
          <w:lang w:val="zh-TW" w:eastAsia="zh-TW"/>
        </w:rPr>
        <w:t>合同</w:t>
      </w:r>
      <w:r>
        <w:rPr>
          <w:rFonts w:hint="eastAsia" w:ascii="方正仿宋_GBK" w:hAnsi="方正仿宋_GBK" w:eastAsia="方正仿宋_GBK" w:cs="方正仿宋_GBK"/>
          <w:b/>
          <w:bCs/>
          <w:sz w:val="36"/>
          <w:szCs w:val="36"/>
          <w:lang w:val="zh-TW" w:eastAsia="zh-TW"/>
        </w:rPr>
        <w:t xml:space="preserve"> </w:t>
      </w:r>
    </w:p>
    <w:p>
      <w:pPr>
        <w:spacing w:line="560" w:lineRule="exact"/>
        <w:jc w:val="center"/>
        <w:rPr>
          <w:rFonts w:ascii="方正仿宋_GBK" w:hAnsi="方正仿宋_GBK" w:eastAsia="方正仿宋_GBK" w:cs="方正仿宋_GBK"/>
          <w:b/>
          <w:bCs/>
          <w:sz w:val="36"/>
          <w:szCs w:val="36"/>
          <w:lang w:val="zh-TW" w:eastAsia="zh-TW"/>
        </w:rPr>
      </w:pPr>
    </w:p>
    <w:p>
      <w:pPr>
        <w:spacing w:line="560" w:lineRule="exact"/>
        <w:jc w:val="left"/>
        <w:rPr>
          <w:rFonts w:hint="eastAsia" w:asciiTheme="minorEastAsia" w:hAnsiTheme="minorEastAsia" w:eastAsiaTheme="minorEastAsia" w:cstheme="minorEastAsia"/>
          <w:sz w:val="21"/>
          <w:szCs w:val="21"/>
          <w:lang w:val="zh-TW"/>
        </w:rPr>
      </w:pPr>
      <w:r>
        <w:rPr>
          <w:rFonts w:hint="eastAsia" w:asciiTheme="minorEastAsia" w:hAnsiTheme="minorEastAsia" w:eastAsiaTheme="minorEastAsia" w:cstheme="minorEastAsia"/>
          <w:sz w:val="21"/>
          <w:szCs w:val="21"/>
          <w:lang w:val="zh-TW"/>
        </w:rPr>
        <w:t>甲方：</w:t>
      </w:r>
    </w:p>
    <w:p>
      <w:pPr>
        <w:spacing w:line="560" w:lineRule="exact"/>
        <w:jc w:val="left"/>
        <w:rPr>
          <w:rFonts w:hint="eastAsia" w:asciiTheme="minorEastAsia" w:hAnsiTheme="minorEastAsia" w:eastAsiaTheme="minorEastAsia" w:cstheme="minorEastAsia"/>
          <w:sz w:val="21"/>
          <w:szCs w:val="21"/>
          <w:lang w:val="zh-TW" w:eastAsia="zh-TW"/>
        </w:rPr>
      </w:pPr>
      <w:r>
        <w:rPr>
          <w:rFonts w:hint="eastAsia" w:asciiTheme="minorEastAsia" w:hAnsiTheme="minorEastAsia" w:eastAsiaTheme="minorEastAsia" w:cstheme="minorEastAsia"/>
          <w:sz w:val="21"/>
          <w:szCs w:val="21"/>
          <w:lang w:val="zh-TW"/>
        </w:rPr>
        <w:t>乙方：</w:t>
      </w:r>
      <w:r>
        <w:rPr>
          <w:rFonts w:hint="eastAsia" w:asciiTheme="minorEastAsia" w:hAnsiTheme="minorEastAsia" w:eastAsiaTheme="minorEastAsia" w:cstheme="minorEastAsia"/>
          <w:sz w:val="21"/>
          <w:szCs w:val="21"/>
          <w:lang w:val="zh-TW" w:eastAsia="zh-TW"/>
        </w:rPr>
        <w:t> </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为了加强对经开区范围内已建未移交道路及其它</w:t>
      </w:r>
      <w:r>
        <w:rPr>
          <w:rFonts w:hint="eastAsia" w:asciiTheme="minorEastAsia" w:hAnsiTheme="minorEastAsia" w:eastAsiaTheme="minorEastAsia" w:cstheme="minorEastAsia"/>
          <w:sz w:val="21"/>
          <w:szCs w:val="21"/>
          <w:lang w:eastAsia="zh-CN"/>
        </w:rPr>
        <w:t>应急</w:t>
      </w:r>
      <w:r>
        <w:rPr>
          <w:rFonts w:hint="eastAsia" w:asciiTheme="minorEastAsia" w:hAnsiTheme="minorEastAsia" w:eastAsiaTheme="minorEastAsia" w:cstheme="minorEastAsia"/>
          <w:sz w:val="21"/>
          <w:szCs w:val="21"/>
        </w:rPr>
        <w:t>突发事件的有效处理，根据《中华人民共和国民法典》的有关规定和双方约定，委托方（以下简称“甲方”）就经开区范围内甲方道路及其它出现的突发性、应急性工作(以下简称土地)委托给受托方（以下简称“乙方”）处理事宜达成一致意见，签订本合同，双方共同遵守执行。</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第一条  工作内容及范围      </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（一）施工项目名称：经开区范围内已建未移交道路及其它临时用工工作。</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（二）施工规模：经开区范围内甲方道路及其它出现的突发性、应急性工作。</w:t>
      </w:r>
    </w:p>
    <w:p>
      <w:pPr>
        <w:snapToGrid w:val="0"/>
        <w:spacing w:line="560" w:lineRule="exact"/>
        <w:ind w:firstLine="420" w:firstLineChars="2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sz w:val="21"/>
          <w:szCs w:val="21"/>
        </w:rPr>
        <w:t>（三）委托对该区域突发性、应急性工作进行妥善处理。</w:t>
      </w: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（四）为确保临时用工任务顺利完成，</w:t>
      </w:r>
      <w:r>
        <w:rPr>
          <w:rFonts w:hint="eastAsia" w:asciiTheme="minorEastAsia" w:hAnsiTheme="minorEastAsia" w:eastAsiaTheme="minorEastAsia" w:cstheme="minorEastAsia"/>
          <w:color w:val="000000" w:themeColor="text1"/>
          <w:kern w:val="0"/>
          <w:sz w:val="21"/>
          <w:szCs w:val="21"/>
          <w:lang w:eastAsia="zh-Hans"/>
          <w14:textFill>
            <w14:solidFill>
              <w14:schemeClr w14:val="tx1"/>
            </w14:solidFill>
          </w14:textFill>
        </w:rPr>
        <w:t>乙方</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需要施工结束后及时提供施工前，施工中，施工后现场照片，提供施工量明细表</w:t>
      </w:r>
      <w:r>
        <w:rPr>
          <w:rFonts w:hint="eastAsia" w:asciiTheme="minorEastAsia" w:hAnsiTheme="minorEastAsia" w:eastAsiaTheme="minorEastAsia" w:cstheme="minorEastAsia"/>
          <w:color w:val="000000" w:themeColor="text1"/>
          <w:kern w:val="0"/>
          <w:sz w:val="21"/>
          <w:szCs w:val="21"/>
          <w:lang w:eastAsia="zh-Hans"/>
          <w14:textFill>
            <w14:solidFill>
              <w14:schemeClr w14:val="tx1"/>
            </w14:solidFill>
          </w14:textFill>
        </w:rPr>
        <w:t>并</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参照机械台班及人工费用单价明细表（</w:t>
      </w:r>
      <w:r>
        <w:rPr>
          <w:rFonts w:hint="eastAsia" w:asciiTheme="minorEastAsia" w:hAnsiTheme="minorEastAsia" w:eastAsiaTheme="minorEastAsia" w:cstheme="minorEastAsia"/>
          <w:color w:val="000000" w:themeColor="text1"/>
          <w:kern w:val="0"/>
          <w:sz w:val="21"/>
          <w:szCs w:val="21"/>
          <w:lang w:eastAsia="zh-Hans"/>
          <w14:textFill>
            <w14:solidFill>
              <w14:schemeClr w14:val="tx1"/>
            </w14:solidFill>
          </w14:textFill>
        </w:rPr>
        <w:t>以</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最终中标单价明细表为准）结算金额（机械台班及人工费用单价明细表中未明确工种由甲乙双方协商并签订价格确认单明确）。</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（五）甲方委托的其他施工工作。</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第二条  施工期限</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施工期限暂定为1年，从</w:t>
      </w:r>
      <w:r>
        <w:rPr>
          <w:rFonts w:hint="eastAsia" w:asciiTheme="minorEastAsia" w:hAnsiTheme="minorEastAsia" w:eastAsiaTheme="minorEastAsia" w:cstheme="minorEastAsia"/>
          <w:sz w:val="21"/>
          <w:szCs w:val="21"/>
          <w:lang w:val="en-US" w:eastAsia="zh-CN"/>
        </w:rPr>
        <w:t>2023年 月 日</w:t>
      </w:r>
      <w:r>
        <w:rPr>
          <w:rFonts w:hint="eastAsia" w:asciiTheme="minorEastAsia" w:hAnsiTheme="minorEastAsia" w:eastAsiaTheme="minorEastAsia" w:cstheme="minorEastAsia"/>
          <w:sz w:val="21"/>
          <w:szCs w:val="21"/>
        </w:rPr>
        <w:t>起</w:t>
      </w:r>
      <w:r>
        <w:rPr>
          <w:rFonts w:hint="eastAsia" w:asciiTheme="minorEastAsia" w:hAnsiTheme="minorEastAsia" w:eastAsiaTheme="minorEastAsia" w:cstheme="minorEastAsia"/>
          <w:sz w:val="21"/>
          <w:szCs w:val="21"/>
          <w:lang w:eastAsia="zh-CN"/>
        </w:rPr>
        <w:t>至</w:t>
      </w:r>
      <w:r>
        <w:rPr>
          <w:rFonts w:hint="eastAsia" w:asciiTheme="minorEastAsia" w:hAnsiTheme="minorEastAsia" w:eastAsiaTheme="minorEastAsia" w:cstheme="minorEastAsia"/>
          <w:sz w:val="21"/>
          <w:szCs w:val="21"/>
          <w:lang w:val="en-US" w:eastAsia="zh-CN"/>
        </w:rPr>
        <w:t>2024年 月 日止</w:t>
      </w:r>
      <w:r>
        <w:rPr>
          <w:rFonts w:hint="eastAsia" w:asciiTheme="minorEastAsia" w:hAnsiTheme="minorEastAsia" w:eastAsiaTheme="minorEastAsia" w:cstheme="minorEastAsia"/>
          <w:sz w:val="21"/>
          <w:szCs w:val="21"/>
        </w:rPr>
        <w:t xml:space="preserve">。 </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  委托施工服务费用及支付方式</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（一）施工服务费标准。</w:t>
      </w:r>
    </w:p>
    <w:p>
      <w:pPr>
        <w:snapToGrid w:val="0"/>
        <w:spacing w:line="5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Hans"/>
        </w:rPr>
        <w:t>乙方</w:t>
      </w:r>
      <w:r>
        <w:rPr>
          <w:rFonts w:hint="eastAsia" w:asciiTheme="minorEastAsia" w:hAnsiTheme="minorEastAsia" w:eastAsiaTheme="minorEastAsia" w:cstheme="minorEastAsia"/>
          <w:sz w:val="21"/>
          <w:szCs w:val="21"/>
        </w:rPr>
        <w:t>需要施工结束后及时提供施工前，施工中，施工后现场照片，提供施工量明细表参照机械台班及人工费用单价明细表（已最终中标单价明细表为准）结算金额（价格已包含相应税款）。</w:t>
      </w:r>
      <w:r>
        <w:rPr>
          <w:rFonts w:hint="eastAsia" w:asciiTheme="minorEastAsia" w:hAnsiTheme="minorEastAsia" w:eastAsiaTheme="minorEastAsia" w:cstheme="minorEastAsia"/>
          <w:sz w:val="21"/>
          <w:szCs w:val="21"/>
          <w:lang w:eastAsia="zh-CN"/>
        </w:rPr>
        <w:t>最终金额以甲方委托第三方造价咨询单位审核金额为准（每次施工结束并验收合格后按第三方造价咨询单位出具的审核金额单结算金额）。</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（二）支付方式。</w:t>
      </w:r>
    </w:p>
    <w:p>
      <w:pPr>
        <w:snapToGrid w:val="0"/>
        <w:spacing w:line="560" w:lineRule="exact"/>
        <w:ind w:firstLine="420" w:firstLineChars="200"/>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rPr>
        <w:t>按施工次数支付。</w:t>
      </w:r>
      <w:r>
        <w:rPr>
          <w:rFonts w:hint="eastAsia" w:asciiTheme="minorEastAsia" w:hAnsiTheme="minorEastAsia" w:eastAsiaTheme="minorEastAsia" w:cstheme="minorEastAsia"/>
          <w:sz w:val="21"/>
          <w:szCs w:val="21"/>
          <w:lang w:eastAsia="zh-Hans"/>
        </w:rPr>
        <w:t>乙方</w:t>
      </w:r>
      <w:r>
        <w:rPr>
          <w:rFonts w:hint="eastAsia" w:asciiTheme="minorEastAsia" w:hAnsiTheme="minorEastAsia" w:eastAsiaTheme="minorEastAsia" w:cstheme="minorEastAsia"/>
          <w:sz w:val="21"/>
          <w:szCs w:val="21"/>
        </w:rPr>
        <w:t>在每次施工完成并经甲方验收合格后</w:t>
      </w:r>
      <w:r>
        <w:rPr>
          <w:rFonts w:hint="eastAsia" w:asciiTheme="minorEastAsia" w:hAnsiTheme="minorEastAsia" w:eastAsiaTheme="minorEastAsia" w:cstheme="minorEastAsia"/>
          <w:sz w:val="21"/>
          <w:szCs w:val="21"/>
          <w:lang w:eastAsia="zh-CN"/>
        </w:rPr>
        <w:t>根据第三方造价咨询单位出具的审核金额</w:t>
      </w:r>
      <w:r>
        <w:rPr>
          <w:rFonts w:hint="eastAsia" w:asciiTheme="minorEastAsia" w:hAnsiTheme="minorEastAsia" w:eastAsiaTheme="minorEastAsia" w:cstheme="minorEastAsia"/>
          <w:sz w:val="21"/>
          <w:szCs w:val="21"/>
        </w:rPr>
        <w:t>于次月5个工作日内，</w:t>
      </w:r>
      <w:r>
        <w:rPr>
          <w:rFonts w:hint="eastAsia" w:asciiTheme="minorEastAsia" w:hAnsiTheme="minorEastAsia" w:eastAsiaTheme="minorEastAsia" w:cstheme="minorEastAsia"/>
          <w:sz w:val="21"/>
          <w:szCs w:val="21"/>
          <w:lang w:eastAsia="zh-Hans"/>
        </w:rPr>
        <w:t>甲方</w:t>
      </w:r>
      <w:r>
        <w:rPr>
          <w:rFonts w:hint="eastAsia" w:asciiTheme="minorEastAsia" w:hAnsiTheme="minorEastAsia" w:eastAsiaTheme="minorEastAsia" w:cstheme="minorEastAsia"/>
          <w:sz w:val="21"/>
          <w:szCs w:val="21"/>
        </w:rPr>
        <w:t>以转账方式支付该次施工费用。</w:t>
      </w:r>
      <w:r>
        <w:rPr>
          <w:rFonts w:hint="eastAsia" w:asciiTheme="minorEastAsia" w:hAnsiTheme="minorEastAsia" w:eastAsiaTheme="minorEastAsia" w:cstheme="minorEastAsia"/>
          <w:sz w:val="21"/>
          <w:szCs w:val="21"/>
          <w:lang w:eastAsia="zh-Hans"/>
        </w:rPr>
        <w:t>甲方付款前乙方须开具合法有效的增值税专用发票，否则甲方有权顺延付款时间。</w:t>
      </w:r>
    </w:p>
    <w:p>
      <w:pPr>
        <w:pStyle w:val="45"/>
        <w:numPr>
          <w:ilvl w:val="255"/>
          <w:numId w:val="0"/>
        </w:numPr>
        <w:spacing w:line="560" w:lineRule="exact"/>
        <w:ind w:firstLine="630" w:firstLineChars="3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第四条 履约保证金</w:t>
      </w:r>
    </w:p>
    <w:p>
      <w:pPr>
        <w:pStyle w:val="45"/>
        <w:numPr>
          <w:ilvl w:val="255"/>
          <w:numId w:val="0"/>
        </w:num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本项目履约保证金按15万缴纳，在中标通知书下达后，</w:t>
      </w:r>
      <w:r>
        <w:rPr>
          <w:rFonts w:hint="eastAsia" w:asciiTheme="minorEastAsia" w:hAnsiTheme="minorEastAsia" w:eastAsiaTheme="minorEastAsia" w:cstheme="minorEastAsia"/>
          <w:sz w:val="21"/>
          <w:szCs w:val="21"/>
          <w:lang w:eastAsia="zh-Hans"/>
        </w:rPr>
        <w:t>乙方在</w:t>
      </w:r>
      <w:r>
        <w:rPr>
          <w:rFonts w:hint="eastAsia" w:asciiTheme="minorEastAsia" w:hAnsiTheme="minorEastAsia" w:eastAsiaTheme="minorEastAsia" w:cstheme="minorEastAsia"/>
          <w:sz w:val="21"/>
          <w:szCs w:val="21"/>
        </w:rPr>
        <w:t>签订合同前3个工作日内一次性向甲方缴纳；合同终止后10个工作日内一次性</w:t>
      </w:r>
      <w:r>
        <w:rPr>
          <w:rFonts w:hint="eastAsia" w:asciiTheme="minorEastAsia" w:hAnsiTheme="minorEastAsia" w:eastAsiaTheme="minorEastAsia" w:cstheme="minorEastAsia"/>
          <w:sz w:val="21"/>
          <w:szCs w:val="21"/>
          <w:lang w:eastAsia="zh-Hans"/>
        </w:rPr>
        <w:t>无息</w:t>
      </w:r>
      <w:r>
        <w:rPr>
          <w:rFonts w:hint="eastAsia" w:asciiTheme="minorEastAsia" w:hAnsiTheme="minorEastAsia" w:eastAsiaTheme="minorEastAsia" w:cstheme="minorEastAsia"/>
          <w:sz w:val="21"/>
          <w:szCs w:val="21"/>
        </w:rPr>
        <w:t>退还履约保证金。</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第五条  双方责任</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（一）甲方责任</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1.负责提供委托乙方施工的地块位置、地块边界红线、土地面积、地上建构筑物数量和其它附着物的现状资料。</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2.现场验收时，与乙方到现场根据委托施工协议第一条进行现场清点、核对，无误后进行支付工作。</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3.有权对施工土地区域进行跟踪动态监督。</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4.按合同约定支付委托施工服务费。</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（二）乙方责任</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1.保质保量按时完成甲方交办工作；</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2.施工过程中发生的安全问题由乙方自行负责；</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3.若施工过程中发生不稳定安全事件</w:t>
      </w:r>
      <w:r>
        <w:rPr>
          <w:rFonts w:hint="eastAsia" w:asciiTheme="minorEastAsia" w:hAnsiTheme="minorEastAsia" w:eastAsiaTheme="minorEastAsia" w:cstheme="minorEastAsia"/>
          <w:sz w:val="21"/>
          <w:szCs w:val="21"/>
          <w:lang w:eastAsia="zh-Hans"/>
        </w:rPr>
        <w:t>及隐患</w:t>
      </w:r>
      <w:r>
        <w:rPr>
          <w:rFonts w:hint="eastAsia" w:asciiTheme="minorEastAsia" w:hAnsiTheme="minorEastAsia" w:eastAsiaTheme="minorEastAsia" w:cstheme="minorEastAsia"/>
          <w:sz w:val="21"/>
          <w:szCs w:val="21"/>
        </w:rPr>
        <w:t>，乙方应第一时间报告甲方；</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4.建立施工台帐，及时核对账目，接受甲方监管；</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5.对危险地段采取安全防护措施，设置警示牌等；</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6.乙方应接受甲方任何时候的工作安排。</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7.乙方在施工过程中，在施工范围内发生的任何危害行为，乙方都应首先展开积极措施予以</w:t>
      </w:r>
      <w:r>
        <w:rPr>
          <w:rFonts w:hint="eastAsia" w:asciiTheme="minorEastAsia" w:hAnsiTheme="minorEastAsia" w:eastAsiaTheme="minorEastAsia" w:cstheme="minorEastAsia"/>
          <w:sz w:val="21"/>
          <w:szCs w:val="21"/>
          <w:lang w:eastAsia="zh-Hans"/>
        </w:rPr>
        <w:t>妥善</w:t>
      </w:r>
      <w:r>
        <w:rPr>
          <w:rFonts w:hint="eastAsia" w:asciiTheme="minorEastAsia" w:hAnsiTheme="minorEastAsia" w:eastAsiaTheme="minorEastAsia" w:cstheme="minorEastAsia"/>
          <w:sz w:val="21"/>
          <w:szCs w:val="21"/>
        </w:rPr>
        <w:t>处理。</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8.施工过程中的安全管理事宜由乙方负责。若施工人员发生工伤、</w:t>
      </w:r>
      <w:r>
        <w:rPr>
          <w:rFonts w:hint="eastAsia" w:asciiTheme="minorEastAsia" w:hAnsiTheme="minorEastAsia" w:eastAsiaTheme="minorEastAsia" w:cstheme="minorEastAsia"/>
          <w:sz w:val="21"/>
          <w:szCs w:val="21"/>
          <w:lang w:eastAsia="zh-Hans"/>
        </w:rPr>
        <w:t>意外事件致损、</w:t>
      </w:r>
      <w:r>
        <w:rPr>
          <w:rFonts w:hint="eastAsia" w:asciiTheme="minorEastAsia" w:hAnsiTheme="minorEastAsia" w:eastAsiaTheme="minorEastAsia" w:cstheme="minorEastAsia"/>
          <w:sz w:val="21"/>
          <w:szCs w:val="21"/>
        </w:rPr>
        <w:t>经济补偿、劳动争议、人身及财产安全事故，或若其他人员在施工过程中发生安全事故等，由乙方承担全部经济损失和法律责任。</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第六条  违约责任</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（一）若甲方未能按合同约定向乙方支付服务费用的，按</w:t>
      </w:r>
      <w:r>
        <w:rPr>
          <w:rFonts w:hint="eastAsia" w:asciiTheme="minorEastAsia" w:hAnsiTheme="minorEastAsia" w:eastAsiaTheme="minorEastAsia" w:cstheme="minorEastAsia"/>
          <w:sz w:val="21"/>
          <w:szCs w:val="21"/>
          <w:lang w:eastAsia="zh-Hans"/>
        </w:rPr>
        <w:t>欠</w:t>
      </w:r>
      <w:r>
        <w:rPr>
          <w:rFonts w:hint="eastAsia" w:asciiTheme="minorEastAsia" w:hAnsiTheme="minorEastAsia" w:eastAsiaTheme="minorEastAsia" w:cstheme="minorEastAsia"/>
          <w:sz w:val="21"/>
          <w:szCs w:val="21"/>
        </w:rPr>
        <w:t>付服务费用金额每日千分之一计算向乙方支付违约金。</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（二）若乙方未按合同第五条第（二）款1-8项的约定履行义务，</w:t>
      </w:r>
      <w:r>
        <w:rPr>
          <w:rFonts w:hint="eastAsia" w:asciiTheme="minorEastAsia" w:hAnsiTheme="minorEastAsia" w:eastAsiaTheme="minorEastAsia" w:cstheme="minorEastAsia"/>
          <w:sz w:val="21"/>
          <w:szCs w:val="21"/>
          <w:lang w:eastAsia="zh-Hans"/>
        </w:rPr>
        <w:t>除应承担由此产生损害责任意外，</w:t>
      </w:r>
      <w:r>
        <w:rPr>
          <w:rFonts w:hint="eastAsia" w:asciiTheme="minorEastAsia" w:hAnsiTheme="minorEastAsia" w:eastAsiaTheme="minorEastAsia" w:cstheme="minorEastAsia"/>
          <w:sz w:val="21"/>
          <w:szCs w:val="21"/>
        </w:rPr>
        <w:t>每发生一次，乙方应当按管护服务费总额的千分之一向甲方支付违约金，发现三次或以上的甲方有权解除合同并有权要求乙方按服务费用总额的百分之二十支付违约金。如甲方受到的实际损失超出乙方应当支付的违约金的，甲方有权要求乙方进行赔偿。</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第七条  其他</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（一）本合同未尽事项，由甲、乙双方协商，签订补充协议，补充协议与本合同具备同等法律效力；</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（二）本合同履行中如有争议，双方应协商解决，若协商不成，提交甲方所在地人民法院提起诉讼；</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（三）因发生不可抗力导致本合同无法履行时，由甲、乙双方协商解决；</w:t>
      </w: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（四）本合同一式六份，甲、乙双方各执三份，经双方签字盖章后生效，具有同等法律效力。</w:t>
      </w:r>
    </w:p>
    <w:p>
      <w:pPr>
        <w:snapToGrid w:val="0"/>
        <w:spacing w:line="560" w:lineRule="exact"/>
        <w:ind w:firstLine="0" w:firstLineChars="0"/>
        <w:rPr>
          <w:rFonts w:hint="eastAsia" w:asciiTheme="minorEastAsia" w:hAnsiTheme="minorEastAsia" w:eastAsiaTheme="minorEastAsia" w:cstheme="minorEastAsia"/>
          <w:sz w:val="21"/>
          <w:szCs w:val="21"/>
        </w:rPr>
      </w:pPr>
    </w:p>
    <w:p>
      <w:pPr>
        <w:snapToGrid w:val="0"/>
        <w:spacing w:line="560" w:lineRule="exact"/>
        <w:ind w:firstLine="0" w:firstLineChars="0"/>
        <w:rPr>
          <w:rFonts w:hint="eastAsia" w:asciiTheme="minorEastAsia" w:hAnsiTheme="minorEastAsia" w:eastAsiaTheme="minorEastAsia" w:cstheme="minorEastAsia"/>
          <w:sz w:val="21"/>
          <w:szCs w:val="21"/>
        </w:rPr>
      </w:pP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甲方：（盖章）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乙方：（盖章）</w:t>
      </w:r>
    </w:p>
    <w:p>
      <w:pPr>
        <w:snapToGrid w:val="0"/>
        <w:spacing w:line="560" w:lineRule="exact"/>
        <w:ind w:firstLine="420" w:firstLineChars="200"/>
        <w:rPr>
          <w:rFonts w:hint="eastAsia" w:asciiTheme="minorEastAsia" w:hAnsiTheme="minorEastAsia" w:eastAsiaTheme="minorEastAsia" w:cstheme="minorEastAsia"/>
          <w:sz w:val="21"/>
          <w:szCs w:val="21"/>
        </w:rPr>
      </w:pP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法定代表人:</w:t>
      </w:r>
    </w:p>
    <w:p>
      <w:pPr>
        <w:snapToGrid w:val="0"/>
        <w:spacing w:line="560" w:lineRule="exact"/>
        <w:ind w:firstLine="420" w:firstLineChars="200"/>
        <w:rPr>
          <w:rFonts w:hint="eastAsia" w:asciiTheme="minorEastAsia" w:hAnsiTheme="minorEastAsia" w:eastAsiaTheme="minorEastAsia" w:cstheme="minorEastAsia"/>
          <w:sz w:val="21"/>
          <w:szCs w:val="21"/>
        </w:rPr>
      </w:pPr>
    </w:p>
    <w:p>
      <w:pPr>
        <w:snapToGrid w:val="0"/>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经办人：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经办人：</w:t>
      </w:r>
    </w:p>
    <w:p>
      <w:pPr>
        <w:snapToGrid w:val="0"/>
        <w:spacing w:line="560" w:lineRule="exact"/>
        <w:ind w:firstLine="420" w:firstLineChars="200"/>
        <w:rPr>
          <w:rFonts w:hint="eastAsia" w:asciiTheme="minorEastAsia" w:hAnsiTheme="minorEastAsia" w:eastAsiaTheme="minorEastAsia" w:cstheme="minorEastAsia"/>
          <w:sz w:val="21"/>
          <w:szCs w:val="21"/>
        </w:rPr>
      </w:pPr>
    </w:p>
    <w:p>
      <w:pPr>
        <w:spacing w:line="56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联系电话：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联系电话：</w:t>
      </w:r>
    </w:p>
    <w:bookmarkEnd w:id="479"/>
    <w:bookmarkEnd w:id="480"/>
    <w:bookmarkEnd w:id="481"/>
    <w:bookmarkEnd w:id="482"/>
    <w:p>
      <w:pPr>
        <w:pStyle w:val="2"/>
        <w:rPr>
          <w:rFonts w:ascii="宋体" w:hAnsi="宋体"/>
          <w:szCs w:val="20"/>
        </w:rPr>
      </w:pPr>
      <w:r>
        <w:rPr>
          <w:rFonts w:ascii="宋体" w:hAnsi="宋体"/>
          <w:sz w:val="24"/>
        </w:rPr>
        <w:br w:type="page"/>
      </w:r>
      <w:bookmarkEnd w:id="483"/>
      <w:bookmarkStart w:id="484" w:name="招标文件05章工程量清单"/>
      <w:bookmarkEnd w:id="484"/>
    </w:p>
    <w:p>
      <w:pPr>
        <w:pStyle w:val="3"/>
        <w:spacing w:before="0" w:after="0" w:line="360" w:lineRule="auto"/>
        <w:jc w:val="center"/>
        <w:rPr>
          <w:rFonts w:ascii="宋体" w:hAnsi="宋体"/>
        </w:rPr>
      </w:pPr>
      <w:bookmarkStart w:id="485" w:name="_Toc509218843"/>
      <w:bookmarkStart w:id="486" w:name="_Toc12440"/>
      <w:bookmarkStart w:id="487" w:name="_Toc534185822"/>
      <w:bookmarkStart w:id="488" w:name="_Toc287620797"/>
      <w:bookmarkStart w:id="489" w:name="_Toc430530513"/>
      <w:bookmarkStart w:id="490" w:name="_Toc287607855"/>
      <w:r>
        <w:rPr>
          <w:rFonts w:hint="eastAsia" w:ascii="宋体" w:hAnsi="宋体"/>
        </w:rPr>
        <w:t>第五章  工程量清单</w:t>
      </w:r>
      <w:bookmarkEnd w:id="485"/>
      <w:bookmarkEnd w:id="486"/>
      <w:bookmarkEnd w:id="487"/>
      <w:bookmarkEnd w:id="488"/>
      <w:bookmarkEnd w:id="489"/>
      <w:bookmarkEnd w:id="490"/>
      <w:bookmarkStart w:id="491" w:name="招标文件05章工程量清单01"/>
      <w:bookmarkEnd w:id="491"/>
      <w:bookmarkStart w:id="492" w:name="_Toc277082638"/>
      <w:bookmarkStart w:id="493" w:name="_Toc430530514"/>
      <w:bookmarkStart w:id="494" w:name="_Toc287620798"/>
      <w:bookmarkStart w:id="495" w:name="_Toc224103477"/>
      <w:bookmarkStart w:id="496" w:name="_Toc287607856"/>
    </w:p>
    <w:bookmarkEnd w:id="492"/>
    <w:bookmarkEnd w:id="493"/>
    <w:bookmarkEnd w:id="494"/>
    <w:bookmarkEnd w:id="495"/>
    <w:bookmarkEnd w:id="496"/>
    <w:p>
      <w:pPr>
        <w:snapToGrid w:val="0"/>
        <w:spacing w:line="360" w:lineRule="auto"/>
        <w:jc w:val="center"/>
        <w:rPr>
          <w:rFonts w:ascii="宋体" w:hAnsi="宋体"/>
          <w:sz w:val="24"/>
        </w:rPr>
      </w:pPr>
    </w:p>
    <w:p>
      <w:pPr>
        <w:snapToGrid w:val="0"/>
        <w:spacing w:line="360" w:lineRule="auto"/>
        <w:jc w:val="center"/>
        <w:rPr>
          <w:rFonts w:ascii="宋体" w:hAnsi="宋体"/>
          <w:szCs w:val="21"/>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ind w:right="561"/>
        <w:rPr>
          <w:rFonts w:ascii="宋体" w:hAnsi="宋体"/>
          <w:szCs w:val="21"/>
        </w:rPr>
      </w:pPr>
      <w:r>
        <w:rPr>
          <w:rFonts w:ascii="宋体" w:hAnsi="宋体"/>
          <w:sz w:val="24"/>
        </w:rPr>
        <w:br w:type="page"/>
      </w:r>
    </w:p>
    <w:p>
      <w:pPr>
        <w:pStyle w:val="3"/>
        <w:spacing w:before="0" w:after="0" w:line="360" w:lineRule="auto"/>
        <w:jc w:val="center"/>
        <w:rPr>
          <w:rFonts w:ascii="宋体" w:hAnsi="宋体"/>
          <w:sz w:val="52"/>
          <w:szCs w:val="52"/>
        </w:rPr>
      </w:pPr>
      <w:bookmarkStart w:id="497" w:name="_Toc509218844"/>
      <w:bookmarkStart w:id="498" w:name="_Toc18984"/>
      <w:bookmarkStart w:id="499" w:name="_Toc534185823"/>
      <w:r>
        <w:rPr>
          <w:rFonts w:ascii="宋体" w:hAnsi="宋体"/>
          <w:sz w:val="52"/>
          <w:szCs w:val="52"/>
        </w:rPr>
        <w:t>第 二 卷</w:t>
      </w:r>
      <w:bookmarkEnd w:id="497"/>
      <w:bookmarkEnd w:id="498"/>
      <w:bookmarkEnd w:id="499"/>
    </w:p>
    <w:p>
      <w:pPr>
        <w:spacing w:line="360" w:lineRule="auto"/>
        <w:rPr>
          <w:rFonts w:ascii="宋体" w:hAnsi="宋体"/>
          <w:szCs w:val="20"/>
        </w:rPr>
      </w:pPr>
      <w:r>
        <w:rPr>
          <w:rFonts w:ascii="宋体" w:hAnsi="宋体"/>
          <w:szCs w:val="20"/>
        </w:rPr>
        <w:br w:type="page"/>
      </w:r>
    </w:p>
    <w:p>
      <w:pPr>
        <w:pStyle w:val="3"/>
        <w:spacing w:line="360" w:lineRule="auto"/>
        <w:jc w:val="center"/>
        <w:rPr>
          <w:rFonts w:ascii="宋体" w:hAnsi="宋体"/>
        </w:rPr>
      </w:pPr>
      <w:bookmarkStart w:id="500" w:name="招标文件06章图纸"/>
      <w:bookmarkEnd w:id="500"/>
      <w:bookmarkStart w:id="501" w:name="_Toc5006"/>
      <w:bookmarkStart w:id="502" w:name="_Toc534185825"/>
      <w:bookmarkStart w:id="503" w:name="_Toc287607861"/>
      <w:bookmarkStart w:id="504" w:name="_Toc287620803"/>
      <w:bookmarkStart w:id="505" w:name="_Toc509218846"/>
      <w:bookmarkStart w:id="506" w:name="_Toc430530519"/>
      <w:r>
        <w:rPr>
          <w:rFonts w:hint="eastAsia" w:ascii="宋体" w:hAnsi="宋体"/>
        </w:rPr>
        <w:t>第六章  图纸</w:t>
      </w:r>
      <w:bookmarkEnd w:id="501"/>
      <w:bookmarkEnd w:id="502"/>
      <w:bookmarkEnd w:id="503"/>
      <w:bookmarkEnd w:id="504"/>
      <w:bookmarkEnd w:id="505"/>
      <w:bookmarkEnd w:id="506"/>
    </w:p>
    <w:p>
      <w:pPr>
        <w:spacing w:line="360" w:lineRule="auto"/>
        <w:jc w:val="center"/>
        <w:rPr>
          <w:rFonts w:ascii="宋体" w:hAnsi="宋体"/>
          <w:szCs w:val="20"/>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pPr>
        <w:spacing w:line="360" w:lineRule="auto"/>
        <w:rPr>
          <w:rFonts w:ascii="宋体" w:hAnsi="宋体"/>
          <w:szCs w:val="20"/>
        </w:rPr>
      </w:pPr>
      <w:bookmarkStart w:id="507" w:name="招标文件06章图纸01"/>
      <w:bookmarkEnd w:id="507"/>
      <w:bookmarkStart w:id="508" w:name="_Toc430530520"/>
      <w:bookmarkStart w:id="509" w:name="_Toc287620804"/>
    </w:p>
    <w:bookmarkEnd w:id="508"/>
    <w:bookmarkEnd w:id="509"/>
    <w:p>
      <w:pPr>
        <w:spacing w:line="360" w:lineRule="auto"/>
        <w:rPr>
          <w:rFonts w:ascii="宋体" w:hAnsi="宋体"/>
        </w:rPr>
      </w:pPr>
      <w:r>
        <w:rPr>
          <w:rFonts w:ascii="宋体" w:hAnsi="宋体"/>
          <w:szCs w:val="20"/>
        </w:rPr>
        <w:br w:type="page"/>
      </w:r>
    </w:p>
    <w:p>
      <w:pPr>
        <w:pStyle w:val="3"/>
        <w:spacing w:before="0" w:after="0" w:line="360" w:lineRule="auto"/>
        <w:jc w:val="center"/>
        <w:rPr>
          <w:rFonts w:ascii="宋体" w:hAnsi="宋体"/>
          <w:sz w:val="52"/>
          <w:szCs w:val="52"/>
        </w:rPr>
      </w:pPr>
      <w:bookmarkStart w:id="510" w:name="_Toc1031"/>
      <w:r>
        <w:rPr>
          <w:rFonts w:hint="eastAsia" w:ascii="宋体" w:hAnsi="宋体"/>
          <w:sz w:val="52"/>
          <w:szCs w:val="52"/>
        </w:rPr>
        <w:t>第 三 卷</w:t>
      </w:r>
      <w:bookmarkEnd w:id="510"/>
      <w:bookmarkStart w:id="511" w:name="_Toc509218847"/>
      <w:bookmarkStart w:id="512" w:name="_Toc536628344"/>
      <w:bookmarkStart w:id="513" w:name="_Toc536797255"/>
      <w:bookmarkStart w:id="514" w:name="_Toc13210772"/>
      <w:bookmarkStart w:id="515" w:name="_Toc13211206"/>
      <w:bookmarkStart w:id="516" w:name="_Toc536621880"/>
      <w:bookmarkStart w:id="517" w:name="_Toc536620100"/>
      <w:bookmarkStart w:id="518" w:name="_Toc536796986"/>
      <w:bookmarkStart w:id="519" w:name="_Toc13211764"/>
      <w:bookmarkStart w:id="520" w:name="_Toc536797390"/>
      <w:bookmarkStart w:id="521" w:name="_Toc536796850"/>
      <w:bookmarkStart w:id="522" w:name="_Toc536797121"/>
      <w:bookmarkStart w:id="523" w:name="_Toc534185826"/>
      <w:bookmarkStart w:id="524" w:name="_Toc536619968"/>
    </w:p>
    <w:bookmarkEnd w:id="511"/>
    <w:p>
      <w:r>
        <w:br w:type="page"/>
      </w:r>
      <w:bookmarkEnd w:id="512"/>
      <w:bookmarkEnd w:id="513"/>
      <w:bookmarkEnd w:id="514"/>
      <w:bookmarkEnd w:id="515"/>
      <w:bookmarkEnd w:id="516"/>
      <w:bookmarkEnd w:id="517"/>
      <w:bookmarkEnd w:id="518"/>
      <w:bookmarkEnd w:id="519"/>
      <w:bookmarkEnd w:id="520"/>
      <w:bookmarkEnd w:id="521"/>
      <w:bookmarkEnd w:id="522"/>
      <w:bookmarkEnd w:id="523"/>
      <w:bookmarkEnd w:id="524"/>
    </w:p>
    <w:p>
      <w:pPr>
        <w:pStyle w:val="3"/>
        <w:spacing w:line="360" w:lineRule="auto"/>
        <w:jc w:val="center"/>
        <w:rPr>
          <w:rFonts w:ascii="宋体" w:hAnsi="宋体"/>
        </w:rPr>
      </w:pPr>
      <w:bookmarkStart w:id="525" w:name="招标文件07章技术标准和要求"/>
      <w:bookmarkEnd w:id="525"/>
      <w:bookmarkStart w:id="526" w:name="_Toc24524"/>
      <w:r>
        <w:rPr>
          <w:rFonts w:ascii="宋体" w:hAnsi="宋体"/>
        </w:rPr>
        <w:t>第七章</w:t>
      </w:r>
      <w:r>
        <w:rPr>
          <w:rFonts w:hint="eastAsia" w:ascii="宋体" w:hAnsi="宋体"/>
        </w:rPr>
        <w:t xml:space="preserve">  </w:t>
      </w:r>
      <w:r>
        <w:rPr>
          <w:rFonts w:ascii="宋体" w:hAnsi="宋体"/>
        </w:rPr>
        <w:t>技术标准和要求</w:t>
      </w:r>
      <w:bookmarkEnd w:id="526"/>
      <w:bookmarkStart w:id="527" w:name="招标文件07章技术标准和要求01"/>
      <w:bookmarkEnd w:id="527"/>
      <w:bookmarkStart w:id="528" w:name="_Toc430530524"/>
      <w:bookmarkStart w:id="529" w:name="_Toc287620808"/>
    </w:p>
    <w:bookmarkEnd w:id="528"/>
    <w:bookmarkEnd w:id="529"/>
    <w:p>
      <w:pPr>
        <w:spacing w:line="360" w:lineRule="auto"/>
        <w:rPr>
          <w:rFonts w:hint="eastAsia" w:ascii="宋体" w:hAnsi="宋体"/>
          <w:szCs w:val="21"/>
        </w:rPr>
      </w:pPr>
      <w:r>
        <w:rPr>
          <w:rFonts w:hint="eastAsia" w:ascii="宋体" w:hAnsi="宋体"/>
          <w:szCs w:val="21"/>
          <w:lang w:val="en-US" w:eastAsia="zh-CN"/>
        </w:rPr>
        <w:t>1.</w:t>
      </w:r>
      <w:r>
        <w:rPr>
          <w:rFonts w:hint="eastAsia" w:ascii="宋体" w:hAnsi="宋体"/>
          <w:szCs w:val="21"/>
        </w:rPr>
        <w:t>根据本项目制定包含组织机构设置及运作机制、人员配置、服务等内容的服务方案方案：</w:t>
      </w:r>
    </w:p>
    <w:p>
      <w:pPr>
        <w:spacing w:line="360" w:lineRule="auto"/>
        <w:rPr>
          <w:rFonts w:hint="eastAsia" w:ascii="宋体" w:hAnsi="宋体"/>
          <w:szCs w:val="21"/>
        </w:rPr>
      </w:pPr>
      <w:r>
        <w:rPr>
          <w:rFonts w:hint="eastAsia" w:ascii="宋体" w:hAnsi="宋体"/>
          <w:szCs w:val="21"/>
        </w:rPr>
        <w:t>（1）内容阐述详尽完整、措施完善、条例清晰。</w:t>
      </w:r>
    </w:p>
    <w:p>
      <w:pPr>
        <w:spacing w:line="360" w:lineRule="auto"/>
        <w:rPr>
          <w:rFonts w:hint="eastAsia" w:ascii="宋体" w:hAnsi="宋体"/>
          <w:szCs w:val="21"/>
        </w:rPr>
      </w:pPr>
      <w:r>
        <w:rPr>
          <w:rFonts w:hint="eastAsia" w:ascii="宋体" w:hAnsi="宋体"/>
          <w:szCs w:val="21"/>
        </w:rPr>
        <w:t>2.管理制度：</w:t>
      </w:r>
    </w:p>
    <w:p>
      <w:pPr>
        <w:spacing w:line="360" w:lineRule="auto"/>
        <w:rPr>
          <w:rFonts w:hint="eastAsia" w:ascii="宋体" w:hAnsi="宋体"/>
          <w:szCs w:val="21"/>
        </w:rPr>
      </w:pPr>
      <w:r>
        <w:rPr>
          <w:rFonts w:hint="eastAsia" w:ascii="宋体" w:hAnsi="宋体"/>
          <w:szCs w:val="21"/>
        </w:rPr>
        <w:t>根据本项目设计制度具有可操作性、严谨性、保安现状及纪律要求的管理制度适合程：</w:t>
      </w:r>
    </w:p>
    <w:p>
      <w:pPr>
        <w:spacing w:line="360" w:lineRule="auto"/>
        <w:rPr>
          <w:rFonts w:hint="eastAsia" w:ascii="宋体" w:hAnsi="宋体"/>
          <w:szCs w:val="21"/>
        </w:rPr>
      </w:pPr>
      <w:r>
        <w:rPr>
          <w:rFonts w:hint="eastAsia" w:ascii="宋体" w:hAnsi="宋体"/>
          <w:szCs w:val="21"/>
        </w:rPr>
        <w:t>（1）内容阐述详尽完整、措施完善、条例清晰。</w:t>
      </w:r>
    </w:p>
    <w:p>
      <w:pPr>
        <w:spacing w:line="360" w:lineRule="auto"/>
        <w:rPr>
          <w:rFonts w:hint="eastAsia" w:ascii="宋体" w:hAnsi="宋体"/>
          <w:szCs w:val="21"/>
        </w:rPr>
      </w:pPr>
      <w:r>
        <w:rPr>
          <w:rFonts w:hint="eastAsia" w:ascii="宋体" w:hAnsi="宋体"/>
          <w:szCs w:val="21"/>
        </w:rPr>
        <w:t>3.服务承诺及进度控制</w:t>
      </w:r>
    </w:p>
    <w:p>
      <w:pPr>
        <w:spacing w:line="360" w:lineRule="auto"/>
        <w:rPr>
          <w:rFonts w:hint="eastAsia" w:ascii="宋体" w:hAnsi="宋体"/>
          <w:szCs w:val="21"/>
        </w:rPr>
      </w:pPr>
      <w:r>
        <w:rPr>
          <w:rFonts w:hint="eastAsia" w:ascii="宋体" w:hAnsi="宋体"/>
          <w:szCs w:val="21"/>
        </w:rPr>
        <w:t>要求投标人提供详细完整的服务承诺、时间进度控制安排及诚信承诺等内容。</w:t>
      </w:r>
    </w:p>
    <w:p>
      <w:pPr>
        <w:spacing w:line="360" w:lineRule="auto"/>
        <w:rPr>
          <w:rFonts w:hint="eastAsia" w:ascii="宋体" w:hAnsi="宋体"/>
          <w:szCs w:val="21"/>
        </w:rPr>
      </w:pPr>
      <w:r>
        <w:rPr>
          <w:rFonts w:hint="eastAsia" w:ascii="宋体" w:hAnsi="宋体"/>
          <w:szCs w:val="21"/>
        </w:rPr>
        <w:t>（1）内容阐述详尽完整、措施完善、条例清晰。</w:t>
      </w:r>
    </w:p>
    <w:p>
      <w:pPr>
        <w:spacing w:line="360" w:lineRule="auto"/>
        <w:rPr>
          <w:rFonts w:hint="eastAsia" w:ascii="宋体" w:hAnsi="宋体"/>
          <w:szCs w:val="21"/>
        </w:rPr>
      </w:pPr>
      <w:r>
        <w:rPr>
          <w:rFonts w:hint="eastAsia" w:ascii="宋体" w:hAnsi="宋体"/>
          <w:szCs w:val="21"/>
        </w:rPr>
        <w:t>4.应急预案</w:t>
      </w:r>
    </w:p>
    <w:p>
      <w:pPr>
        <w:spacing w:line="360" w:lineRule="auto"/>
        <w:rPr>
          <w:rFonts w:hint="eastAsia" w:ascii="宋体" w:hAnsi="宋体"/>
          <w:szCs w:val="21"/>
        </w:rPr>
      </w:pPr>
      <w:r>
        <w:rPr>
          <w:rFonts w:hint="eastAsia" w:ascii="宋体" w:hAnsi="宋体"/>
          <w:szCs w:val="21"/>
        </w:rPr>
        <w:t>要求投标人提供详细完整的应急预案，内容应包含对出现紧急事故的防范性和及时性。</w:t>
      </w:r>
    </w:p>
    <w:p>
      <w:pPr>
        <w:spacing w:line="360" w:lineRule="auto"/>
        <w:rPr>
          <w:rFonts w:hint="eastAsia" w:ascii="宋体" w:hAnsi="宋体"/>
          <w:szCs w:val="21"/>
        </w:rPr>
      </w:pPr>
      <w:r>
        <w:rPr>
          <w:rFonts w:hint="eastAsia" w:ascii="宋体" w:hAnsi="宋体"/>
          <w:szCs w:val="21"/>
        </w:rPr>
        <w:t>（1）内容阐述详尽完整、措施完善、条例清晰。</w:t>
      </w:r>
    </w:p>
    <w:p>
      <w:pPr>
        <w:spacing w:line="360" w:lineRule="auto"/>
        <w:rPr>
          <w:rFonts w:ascii="宋体" w:hAnsi="宋体"/>
        </w:rPr>
      </w:pPr>
      <w:r>
        <w:rPr>
          <w:rFonts w:ascii="宋体" w:hAnsi="宋体"/>
        </w:rPr>
        <w:br w:type="page"/>
      </w:r>
    </w:p>
    <w:p>
      <w:pPr>
        <w:pStyle w:val="3"/>
        <w:spacing w:before="0" w:after="0" w:line="360" w:lineRule="auto"/>
        <w:jc w:val="center"/>
        <w:rPr>
          <w:rFonts w:ascii="宋体" w:hAnsi="宋体"/>
          <w:sz w:val="52"/>
          <w:szCs w:val="52"/>
        </w:rPr>
      </w:pPr>
      <w:bookmarkStart w:id="530" w:name="_Toc19295"/>
      <w:bookmarkStart w:id="531" w:name="_Toc509218849"/>
      <w:bookmarkStart w:id="532" w:name="_Toc534185827"/>
      <w:r>
        <w:rPr>
          <w:rFonts w:ascii="宋体" w:hAnsi="宋体"/>
          <w:sz w:val="52"/>
          <w:szCs w:val="52"/>
        </w:rPr>
        <w:t>第 四 卷</w:t>
      </w:r>
      <w:bookmarkEnd w:id="530"/>
      <w:bookmarkEnd w:id="531"/>
      <w:bookmarkEnd w:id="532"/>
      <w:bookmarkStart w:id="533" w:name="_Toc536797393"/>
      <w:bookmarkStart w:id="534" w:name="_Toc536619970"/>
      <w:bookmarkStart w:id="535" w:name="_Toc534185828"/>
      <w:bookmarkStart w:id="536" w:name="_Toc536797258"/>
      <w:bookmarkStart w:id="537" w:name="_Toc536628347"/>
      <w:bookmarkStart w:id="538" w:name="_Toc536796989"/>
      <w:bookmarkStart w:id="539" w:name="_Toc536797124"/>
      <w:bookmarkStart w:id="540" w:name="_Toc509218850"/>
      <w:bookmarkStart w:id="541" w:name="_Toc536620102"/>
      <w:bookmarkStart w:id="542" w:name="_Toc536796853"/>
      <w:bookmarkStart w:id="543" w:name="_Toc13211209"/>
      <w:bookmarkStart w:id="544" w:name="_Toc13211767"/>
      <w:bookmarkStart w:id="545" w:name="_Toc13210775"/>
      <w:bookmarkStart w:id="546" w:name="_Toc536621883"/>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r>
        <w:br w:type="page"/>
      </w:r>
      <w:bookmarkStart w:id="547" w:name="招标文件08章投标文件格式"/>
      <w:bookmarkEnd w:id="547"/>
      <w:bookmarkStart w:id="548" w:name="_Toc287607865"/>
      <w:bookmarkStart w:id="549" w:name="_Toc287620812"/>
    </w:p>
    <w:p>
      <w:pPr>
        <w:pStyle w:val="3"/>
        <w:spacing w:line="360" w:lineRule="auto"/>
        <w:jc w:val="center"/>
        <w:rPr>
          <w:rFonts w:ascii="宋体" w:hAnsi="宋体"/>
        </w:rPr>
      </w:pPr>
      <w:bookmarkStart w:id="550" w:name="_Toc430530528"/>
      <w:bookmarkStart w:id="551" w:name="_Toc14509"/>
      <w:bookmarkStart w:id="552" w:name="_Toc509218852"/>
      <w:bookmarkStart w:id="553" w:name="_Toc534185829"/>
      <w:r>
        <w:rPr>
          <w:rFonts w:hint="eastAsia" w:ascii="宋体" w:hAnsi="宋体"/>
        </w:rPr>
        <w:t>第八章  投标文件格式</w:t>
      </w:r>
      <w:bookmarkEnd w:id="548"/>
      <w:bookmarkEnd w:id="549"/>
      <w:bookmarkEnd w:id="550"/>
      <w:bookmarkEnd w:id="551"/>
      <w:bookmarkEnd w:id="552"/>
      <w:bookmarkEnd w:id="553"/>
    </w:p>
    <w:p>
      <w:pPr>
        <w:spacing w:line="360" w:lineRule="auto"/>
        <w:rPr>
          <w:rFonts w:ascii="宋体" w:hAnsi="宋体"/>
          <w:sz w:val="32"/>
          <w:szCs w:val="32"/>
        </w:rPr>
      </w:pPr>
    </w:p>
    <w:p>
      <w:pPr>
        <w:spacing w:line="360" w:lineRule="auto"/>
        <w:jc w:val="center"/>
        <w:rPr>
          <w:rFonts w:ascii="宋体" w:hAnsi="宋体"/>
          <w:sz w:val="36"/>
          <w:szCs w:val="36"/>
        </w:rPr>
      </w:pPr>
      <w:r>
        <w:rPr>
          <w:rFonts w:ascii="宋体" w:hAnsi="宋体"/>
          <w:szCs w:val="20"/>
        </w:rPr>
        <w:br w:type="page"/>
      </w:r>
      <w:bookmarkStart w:id="554" w:name="_Toc224103493"/>
      <w:r>
        <w:rPr>
          <w:rFonts w:hint="eastAsia" w:ascii="宋体" w:hAnsi="宋体"/>
          <w:sz w:val="36"/>
          <w:szCs w:val="36"/>
        </w:rPr>
        <w:t>目  录</w:t>
      </w:r>
      <w:bookmarkEnd w:id="554"/>
    </w:p>
    <w:p>
      <w:pPr>
        <w:spacing w:line="360" w:lineRule="auto"/>
        <w:jc w:val="center"/>
        <w:rPr>
          <w:rFonts w:ascii="宋体" w:hAnsi="宋体"/>
          <w:szCs w:val="20"/>
        </w:rPr>
      </w:pPr>
    </w:p>
    <w:p>
      <w:pPr>
        <w:spacing w:line="360" w:lineRule="auto"/>
        <w:rPr>
          <w:rFonts w:ascii="宋体" w:hAnsi="宋体"/>
          <w:b/>
        </w:rPr>
      </w:pPr>
      <w:r>
        <w:rPr>
          <w:rFonts w:hint="eastAsia" w:ascii="宋体" w:hAnsi="宋体"/>
          <w:b/>
        </w:rPr>
        <w:t>一</w:t>
      </w:r>
      <w:r>
        <w:rPr>
          <w:rFonts w:ascii="宋体" w:hAnsi="宋体"/>
          <w:b/>
        </w:rPr>
        <w:t>、投标函部分</w:t>
      </w:r>
    </w:p>
    <w:p>
      <w:pPr>
        <w:spacing w:line="360" w:lineRule="auto"/>
        <w:ind w:firstLine="420" w:firstLineChars="200"/>
        <w:rPr>
          <w:rFonts w:ascii="宋体" w:hAnsi="宋体"/>
        </w:rPr>
      </w:pPr>
      <w:r>
        <w:rPr>
          <w:rFonts w:ascii="宋体" w:hAnsi="宋体"/>
        </w:rPr>
        <w:t>（一）投标函</w:t>
      </w:r>
    </w:p>
    <w:p>
      <w:pPr>
        <w:spacing w:line="360" w:lineRule="auto"/>
        <w:ind w:firstLine="420" w:firstLineChars="200"/>
        <w:rPr>
          <w:rFonts w:ascii="宋体" w:hAnsi="宋体"/>
        </w:rPr>
      </w:pPr>
      <w:r>
        <w:rPr>
          <w:rFonts w:ascii="宋体" w:hAnsi="宋体"/>
        </w:rPr>
        <w:t>（二）</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（三）</w:t>
      </w:r>
      <w:r>
        <w:rPr>
          <w:rFonts w:hint="eastAsia" w:ascii="宋体" w:hAnsi="宋体"/>
        </w:rPr>
        <w:t>低价风险担保缴纳承诺书（如有）</w:t>
      </w:r>
    </w:p>
    <w:p>
      <w:pPr>
        <w:spacing w:line="360" w:lineRule="auto"/>
        <w:ind w:firstLine="420" w:firstLineChars="200"/>
        <w:rPr>
          <w:rFonts w:ascii="宋体" w:hAnsi="宋体"/>
        </w:rPr>
      </w:pPr>
      <w:r>
        <w:rPr>
          <w:rFonts w:ascii="宋体" w:hAnsi="宋体"/>
        </w:rPr>
        <w:t>（四）联合体协议书</w:t>
      </w:r>
      <w:r>
        <w:rPr>
          <w:rFonts w:hint="eastAsia" w:ascii="宋体" w:hAnsi="宋体"/>
        </w:rPr>
        <w:t>（如有）</w:t>
      </w:r>
    </w:p>
    <w:p>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lang w:eastAsia="zh-CN"/>
        </w:rPr>
        <w:t>技术</w:t>
      </w:r>
      <w:r>
        <w:rPr>
          <w:rFonts w:ascii="宋体" w:hAnsi="宋体"/>
          <w:b/>
        </w:rPr>
        <w:t>部分</w:t>
      </w:r>
    </w:p>
    <w:p>
      <w:pPr>
        <w:spacing w:line="360" w:lineRule="auto"/>
        <w:ind w:firstLine="420" w:firstLineChars="200"/>
        <w:rPr>
          <w:rFonts w:ascii="宋体" w:hAnsi="宋体"/>
        </w:rPr>
      </w:pPr>
      <w:r>
        <w:rPr>
          <w:rFonts w:hint="eastAsia" w:ascii="宋体" w:hAnsi="宋体"/>
        </w:rPr>
        <w:t>技术</w:t>
      </w:r>
      <w:r>
        <w:rPr>
          <w:rFonts w:hint="eastAsia" w:ascii="宋体" w:hAnsi="宋体"/>
          <w:lang w:eastAsia="zh-CN"/>
        </w:rPr>
        <w:t>服务</w:t>
      </w:r>
      <w:r>
        <w:rPr>
          <w:rFonts w:hint="eastAsia" w:ascii="宋体" w:hAnsi="宋体"/>
        </w:rPr>
        <w:t>方案</w:t>
      </w:r>
    </w:p>
    <w:p>
      <w:pPr>
        <w:spacing w:line="360" w:lineRule="auto"/>
        <w:rPr>
          <w:rFonts w:ascii="宋体" w:hAnsi="宋体"/>
          <w:b/>
        </w:rPr>
      </w:pPr>
      <w:r>
        <w:rPr>
          <w:rFonts w:hint="eastAsia" w:ascii="宋体" w:hAnsi="宋体"/>
          <w:b/>
          <w:lang w:eastAsia="zh-CN"/>
        </w:rPr>
        <w:t>三</w:t>
      </w:r>
      <w:r>
        <w:rPr>
          <w:rFonts w:ascii="宋体" w:hAnsi="宋体"/>
          <w:b/>
        </w:rPr>
        <w:t>、</w:t>
      </w:r>
      <w:r>
        <w:rPr>
          <w:rFonts w:hint="eastAsia" w:ascii="宋体" w:hAnsi="宋体"/>
          <w:b/>
        </w:rPr>
        <w:t>资格审查部分</w:t>
      </w:r>
    </w:p>
    <w:p>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pPr>
        <w:spacing w:line="360" w:lineRule="auto"/>
        <w:ind w:firstLine="420" w:firstLineChars="200"/>
        <w:rPr>
          <w:rFonts w:ascii="宋体" w:hAnsi="宋体"/>
        </w:rPr>
      </w:pPr>
      <w:r>
        <w:rPr>
          <w:rFonts w:ascii="宋体" w:hAnsi="宋体"/>
        </w:rPr>
        <w:t>（三）投标人基本情况表</w:t>
      </w:r>
    </w:p>
    <w:p>
      <w:pPr>
        <w:spacing w:line="360" w:lineRule="auto"/>
        <w:ind w:firstLine="420" w:firstLineChars="200"/>
        <w:rPr>
          <w:rFonts w:ascii="宋体" w:hAnsi="宋体"/>
        </w:rPr>
      </w:pPr>
      <w:r>
        <w:rPr>
          <w:rFonts w:ascii="宋体" w:hAnsi="宋体"/>
        </w:rPr>
        <w:t>（四）近年财务状况表</w:t>
      </w:r>
    </w:p>
    <w:p>
      <w:pPr>
        <w:spacing w:line="360" w:lineRule="auto"/>
        <w:ind w:firstLine="420" w:firstLineChars="200"/>
        <w:rPr>
          <w:rFonts w:ascii="宋体" w:hAnsi="宋体"/>
        </w:rPr>
      </w:pPr>
      <w:r>
        <w:rPr>
          <w:rFonts w:ascii="宋体" w:hAnsi="宋体"/>
        </w:rPr>
        <w:t>（五）类似项目情况表</w:t>
      </w:r>
    </w:p>
    <w:p>
      <w:pPr>
        <w:spacing w:line="360" w:lineRule="auto"/>
        <w:ind w:firstLine="420" w:firstLineChars="200"/>
        <w:rPr>
          <w:rFonts w:ascii="宋体" w:hAnsi="宋体"/>
        </w:rPr>
      </w:pPr>
      <w:r>
        <w:rPr>
          <w:rFonts w:ascii="宋体" w:hAnsi="宋体"/>
        </w:rPr>
        <w:t>（六）</w:t>
      </w:r>
      <w:r>
        <w:rPr>
          <w:rFonts w:hint="eastAsia" w:ascii="宋体" w:hAnsi="宋体"/>
        </w:rPr>
        <w:t>承诺</w:t>
      </w:r>
    </w:p>
    <w:p>
      <w:pPr>
        <w:spacing w:line="360" w:lineRule="auto"/>
        <w:ind w:firstLine="420" w:firstLineChars="200"/>
        <w:rPr>
          <w:rFonts w:ascii="宋体" w:hAnsi="宋体"/>
        </w:rPr>
      </w:pPr>
      <w:r>
        <w:rPr>
          <w:rFonts w:ascii="宋体" w:hAnsi="宋体"/>
        </w:rPr>
        <w:t>（七）其他资料</w:t>
      </w:r>
    </w:p>
    <w:p>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555" w:name="_Toc224103494"/>
      <w:bookmarkStart w:id="556" w:name="_Toc287620813"/>
      <w:bookmarkStart w:id="557" w:name="_Toc287607866"/>
      <w:bookmarkStart w:id="558" w:name="_Toc430530529"/>
      <w:bookmarkStart w:id="559" w:name="_Toc277082642"/>
    </w:p>
    <w:p>
      <w:pPr>
        <w:pStyle w:val="4"/>
        <w:spacing w:line="360" w:lineRule="auto"/>
        <w:jc w:val="center"/>
        <w:rPr>
          <w:rFonts w:ascii="宋体" w:hAnsi="宋体"/>
          <w:b w:val="0"/>
          <w:bCs w:val="0"/>
          <w:sz w:val="44"/>
          <w:szCs w:val="44"/>
        </w:rPr>
      </w:pPr>
      <w:bookmarkStart w:id="560" w:name="_Toc6817"/>
      <w:r>
        <w:rPr>
          <w:rFonts w:hint="eastAsia" w:ascii="宋体" w:hAnsi="宋体"/>
          <w:b w:val="0"/>
          <w:bCs w:val="0"/>
          <w:sz w:val="44"/>
          <w:szCs w:val="44"/>
        </w:rPr>
        <w:t>一、投标函部分</w:t>
      </w:r>
      <w:bookmarkEnd w:id="555"/>
      <w:bookmarkEnd w:id="556"/>
      <w:bookmarkEnd w:id="557"/>
      <w:bookmarkEnd w:id="558"/>
      <w:bookmarkEnd w:id="559"/>
      <w:bookmarkEnd w:id="560"/>
    </w:p>
    <w:p>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w:t>
      </w:r>
      <w:r>
        <w:rPr>
          <w:rFonts w:hint="eastAsia" w:ascii="宋体" w:hAnsi="宋体"/>
          <w:kern w:val="0"/>
          <w:sz w:val="24"/>
        </w:rPr>
        <w:t>法定代表人身份证明或附有法定代表人身份证明的授权委托书</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低价风险担保缴纳承诺书（如有）</w:t>
      </w:r>
    </w:p>
    <w:p>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（四）联合体协议书</w:t>
      </w:r>
      <w:r>
        <w:rPr>
          <w:rFonts w:hint="eastAsia" w:ascii="宋体" w:hAnsi="宋体"/>
          <w:kern w:val="0"/>
          <w:sz w:val="24"/>
        </w:rPr>
        <w:t>（如有）</w:t>
      </w:r>
    </w:p>
    <w:p>
      <w:pPr>
        <w:pStyle w:val="5"/>
        <w:spacing w:before="0" w:after="0" w:line="240" w:lineRule="auto"/>
        <w:jc w:val="center"/>
        <w:rPr>
          <w:rFonts w:ascii="宋体" w:hAnsi="宋体"/>
          <w:b w:val="0"/>
        </w:rPr>
      </w:pPr>
      <w:bookmarkStart w:id="561" w:name="_Toc277082643"/>
      <w:bookmarkStart w:id="562" w:name="_Toc509218854"/>
      <w:bookmarkStart w:id="563" w:name="_Toc287607867"/>
      <w:bookmarkStart w:id="564" w:name="_Toc534185831"/>
      <w:bookmarkStart w:id="565" w:name="_Toc287620814"/>
      <w:bookmarkStart w:id="566" w:name="_Toc430530530"/>
      <w:bookmarkStart w:id="567" w:name="_Toc224103495"/>
      <w:r>
        <w:rPr>
          <w:rFonts w:ascii="宋体" w:hAnsi="宋体"/>
        </w:rPr>
        <w:br w:type="page"/>
      </w:r>
      <w:bookmarkStart w:id="568" w:name="_Toc2394"/>
      <w:r>
        <w:rPr>
          <w:rFonts w:hint="eastAsia" w:ascii="宋体" w:hAnsi="宋体"/>
          <w:b w:val="0"/>
          <w:bCs w:val="0"/>
        </w:rPr>
        <w:t>（一）投标函</w:t>
      </w:r>
      <w:bookmarkEnd w:id="561"/>
      <w:bookmarkEnd w:id="562"/>
      <w:bookmarkEnd w:id="563"/>
      <w:bookmarkEnd w:id="564"/>
      <w:bookmarkEnd w:id="565"/>
      <w:bookmarkEnd w:id="566"/>
      <w:bookmarkEnd w:id="567"/>
      <w:bookmarkEnd w:id="568"/>
    </w:p>
    <w:p>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采购</w:t>
      </w:r>
      <w:r>
        <w:rPr>
          <w:rFonts w:ascii="宋体" w:hAnsi="宋体"/>
          <w:snapToGrid w:val="0"/>
          <w:kern w:val="0"/>
          <w:szCs w:val="21"/>
        </w:rPr>
        <w:t>文件的全部内容，愿意以</w:t>
      </w:r>
      <w:r>
        <w:rPr>
          <w:rFonts w:hint="eastAsia" w:ascii="宋体" w:hAnsi="宋体"/>
          <w:snapToGrid w:val="0"/>
          <w:kern w:val="0"/>
          <w:szCs w:val="21"/>
          <w:lang w:eastAsia="zh-CN"/>
        </w:rPr>
        <w:t>招标人全费用综合包干单价乘以统一报价系数</w:t>
      </w:r>
      <w:r>
        <w:rPr>
          <w:rFonts w:hint="eastAsia" w:ascii="宋体" w:hAnsi="宋体"/>
          <w:snapToGrid w:val="0"/>
          <w:kern w:val="0"/>
          <w:szCs w:val="21"/>
          <w:u w:val="single"/>
          <w:lang w:val="en-US" w:eastAsia="zh-CN"/>
        </w:rPr>
        <w:t xml:space="preserve">       </w:t>
      </w:r>
      <w:r>
        <w:rPr>
          <w:rFonts w:hint="eastAsia" w:ascii="宋体" w:hAnsi="宋体"/>
          <w:snapToGrid w:val="0"/>
          <w:kern w:val="0"/>
          <w:szCs w:val="21"/>
          <w:u w:val="none"/>
          <w:lang w:val="en-US" w:eastAsia="zh-CN"/>
        </w:rPr>
        <w:t>作为本工程投标</w:t>
      </w:r>
      <w:r>
        <w:rPr>
          <w:rFonts w:ascii="宋体" w:hAnsi="宋体"/>
          <w:snapToGrid w:val="0"/>
          <w:kern w:val="0"/>
          <w:szCs w:val="21"/>
        </w:rPr>
        <w:t>报价</w:t>
      </w:r>
      <w:r>
        <w:rPr>
          <w:rFonts w:hint="eastAsia" w:ascii="宋体" w:hAnsi="宋体"/>
          <w:snapToGrid w:val="0"/>
          <w:kern w:val="0"/>
          <w:szCs w:val="21"/>
          <w:lang w:eastAsia="zh-CN"/>
        </w:rPr>
        <w:t>。</w:t>
      </w:r>
      <w:r>
        <w:rPr>
          <w:rFonts w:ascii="宋体" w:hAnsi="宋体"/>
          <w:snapToGrid w:val="0"/>
          <w:kern w:val="0"/>
          <w:szCs w:val="21"/>
        </w:rPr>
        <w:t>工期</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我方承诺在投标有效期内不修改、撤销投标文件。</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采购</w:t>
      </w:r>
      <w:r>
        <w:rPr>
          <w:rFonts w:ascii="宋体" w:hAnsi="宋体"/>
          <w:snapToGrid w:val="0"/>
          <w:kern w:val="0"/>
          <w:szCs w:val="21"/>
        </w:rPr>
        <w:t>文件规定向你方递交履约担保。</w:t>
      </w:r>
    </w:p>
    <w:p>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采购</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pacing w:line="400" w:lineRule="exact"/>
        <w:ind w:firstLine="420" w:firstLineChars="200"/>
        <w:jc w:val="right"/>
        <w:rPr>
          <w:rFonts w:ascii="宋体" w:hAnsi="宋体"/>
          <w:kern w:val="0"/>
          <w:szCs w:val="21"/>
        </w:rPr>
      </w:pPr>
    </w:p>
    <w:p>
      <w:pPr>
        <w:tabs>
          <w:tab w:val="left" w:pos="8300"/>
        </w:tabs>
        <w:autoSpaceDE w:val="0"/>
        <w:autoSpaceDN w:val="0"/>
        <w:adjustRightInd w:val="0"/>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注：联合体投标的，应在本投标函第6条中列明联合体全体成员的单位全称；要求加盖单位法人章的地方由联合体牵头人使用 CA 数字证书加盖单位电子印章即可。</w:t>
      </w:r>
    </w:p>
    <w:p>
      <w:pPr>
        <w:pStyle w:val="5"/>
        <w:spacing w:before="0" w:after="0" w:line="240" w:lineRule="auto"/>
        <w:jc w:val="center"/>
        <w:rPr>
          <w:rFonts w:ascii="宋体" w:hAnsi="宋体"/>
          <w:snapToGrid w:val="0"/>
          <w:kern w:val="0"/>
          <w:szCs w:val="21"/>
        </w:rPr>
      </w:pPr>
      <w:bookmarkStart w:id="569" w:name="_Toc287620815"/>
      <w:bookmarkStart w:id="570" w:name="_Toc224103496"/>
      <w:bookmarkStart w:id="571" w:name="_Toc277082644"/>
      <w:bookmarkStart w:id="572" w:name="_Toc287607868"/>
      <w:bookmarkStart w:id="573" w:name="_Toc430530531"/>
      <w:r>
        <w:rPr>
          <w:rFonts w:ascii="宋体" w:hAnsi="宋体"/>
          <w:sz w:val="28"/>
        </w:rPr>
        <w:br w:type="page"/>
      </w:r>
      <w:bookmarkEnd w:id="569"/>
      <w:bookmarkEnd w:id="570"/>
      <w:bookmarkEnd w:id="571"/>
      <w:bookmarkEnd w:id="572"/>
      <w:bookmarkEnd w:id="573"/>
      <w:bookmarkStart w:id="574" w:name="_Toc287607869"/>
      <w:bookmarkStart w:id="575" w:name="_Toc19159"/>
      <w:bookmarkStart w:id="576" w:name="_Toc224103497"/>
      <w:bookmarkStart w:id="577" w:name="_Toc430530532"/>
      <w:bookmarkStart w:id="578" w:name="_Toc277082645"/>
      <w:bookmarkStart w:id="579" w:name="_Toc287620816"/>
      <w:r>
        <w:rPr>
          <w:rFonts w:ascii="宋体" w:hAnsi="宋体"/>
          <w:b w:val="0"/>
          <w:bCs w:val="0"/>
        </w:rPr>
        <w:t>（</w:t>
      </w:r>
      <w:r>
        <w:rPr>
          <w:rFonts w:hint="eastAsia" w:ascii="宋体" w:hAnsi="宋体"/>
          <w:b w:val="0"/>
          <w:bCs w:val="0"/>
          <w:lang w:eastAsia="zh-CN"/>
        </w:rPr>
        <w:t>二</w:t>
      </w:r>
      <w:r>
        <w:rPr>
          <w:rFonts w:ascii="宋体" w:hAnsi="宋体"/>
          <w:b w:val="0"/>
          <w:bCs w:val="0"/>
        </w:rPr>
        <w:t>）</w:t>
      </w:r>
      <w:r>
        <w:rPr>
          <w:rFonts w:hint="eastAsia" w:ascii="宋体" w:hAnsi="宋体"/>
          <w:b w:val="0"/>
          <w:bCs w:val="0"/>
        </w:rPr>
        <w:t>法定代表人身份证明或附有法定代表人身份证明的授权委托书</w:t>
      </w:r>
      <w:bookmarkEnd w:id="574"/>
      <w:bookmarkEnd w:id="575"/>
      <w:bookmarkEnd w:id="576"/>
      <w:bookmarkEnd w:id="577"/>
      <w:bookmarkEnd w:id="578"/>
      <w:bookmarkEnd w:id="579"/>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spacing w:line="360" w:lineRule="auto"/>
        <w:ind w:firstLine="420" w:firstLineChars="200"/>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spacing w:line="360" w:lineRule="auto"/>
        <w:ind w:firstLine="420" w:firstLineChars="200"/>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580" w:name="_Toc287620817"/>
      <w:bookmarkStart w:id="581" w:name="_Toc224103498"/>
      <w:bookmarkStart w:id="582" w:name="_Toc287607870"/>
      <w:bookmarkStart w:id="583" w:name="_Toc277082646"/>
      <w:bookmarkStart w:id="584" w:name="_Toc6203"/>
      <w:bookmarkStart w:id="585" w:name="_Toc430530533"/>
      <w:r>
        <w:rPr>
          <w:rFonts w:ascii="宋体" w:hAnsi="宋体"/>
          <w:b w:val="0"/>
          <w:bCs w:val="0"/>
        </w:rPr>
        <w:t>（</w:t>
      </w:r>
      <w:r>
        <w:rPr>
          <w:rFonts w:hint="eastAsia" w:ascii="宋体" w:hAnsi="宋体"/>
          <w:b w:val="0"/>
          <w:bCs w:val="0"/>
          <w:lang w:eastAsia="zh-CN"/>
        </w:rPr>
        <w:t>三</w:t>
      </w:r>
      <w:r>
        <w:rPr>
          <w:rFonts w:ascii="宋体" w:hAnsi="宋体"/>
          <w:b w:val="0"/>
          <w:bCs w:val="0"/>
        </w:rPr>
        <w:t>）</w:t>
      </w:r>
      <w:bookmarkEnd w:id="580"/>
      <w:bookmarkEnd w:id="581"/>
      <w:bookmarkEnd w:id="582"/>
      <w:bookmarkEnd w:id="583"/>
      <w:bookmarkStart w:id="586" w:name="_Toc287620818"/>
      <w:bookmarkStart w:id="587" w:name="_Toc224103499"/>
      <w:bookmarkStart w:id="588" w:name="_Toc277082647"/>
      <w:bookmarkStart w:id="589" w:name="_Toc287607871"/>
      <w:r>
        <w:rPr>
          <w:rFonts w:hint="eastAsia" w:ascii="宋体" w:hAnsi="宋体"/>
          <w:b w:val="0"/>
          <w:bCs w:val="0"/>
        </w:rPr>
        <w:t>低价风险担保缴纳承诺书</w:t>
      </w:r>
      <w:bookmarkEnd w:id="584"/>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（投标报价低于采购项目最高限价的85%时采用）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（采购人名称）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p>
    <w:p>
      <w:pPr>
        <w:pStyle w:val="2"/>
        <w:rPr>
          <w:rFonts w:ascii="宋体" w:hAnsi="宋体"/>
          <w:snapToGrid w:val="0"/>
          <w:kern w:val="0"/>
          <w:sz w:val="32"/>
          <w:szCs w:val="32"/>
        </w:rPr>
      </w:pPr>
      <w:r>
        <w:rPr>
          <w:rFonts w:ascii="宋体" w:hAnsi="宋体"/>
          <w:snapToGrid w:val="0"/>
          <w:kern w:val="0"/>
          <w:sz w:val="32"/>
          <w:szCs w:val="32"/>
        </w:rPr>
        <w:br w:type="page"/>
      </w:r>
    </w:p>
    <w:p>
      <w:pPr>
        <w:pStyle w:val="5"/>
        <w:spacing w:before="0" w:after="0" w:line="240" w:lineRule="auto"/>
        <w:jc w:val="center"/>
        <w:rPr>
          <w:rFonts w:ascii="宋体" w:hAnsi="宋体"/>
          <w:b w:val="0"/>
          <w:bCs w:val="0"/>
        </w:rPr>
      </w:pPr>
      <w:bookmarkStart w:id="590" w:name="_Toc14213"/>
      <w:bookmarkStart w:id="591" w:name="_Toc57820652"/>
      <w:r>
        <w:rPr>
          <w:rFonts w:hint="eastAsia" w:ascii="宋体" w:hAnsi="宋体"/>
          <w:b w:val="0"/>
          <w:bCs w:val="0"/>
        </w:rPr>
        <w:t>（</w:t>
      </w:r>
      <w:r>
        <w:rPr>
          <w:rFonts w:hint="eastAsia" w:ascii="宋体" w:hAnsi="宋体"/>
          <w:b w:val="0"/>
          <w:bCs w:val="0"/>
          <w:lang w:eastAsia="zh-CN"/>
        </w:rPr>
        <w:t>四</w:t>
      </w:r>
      <w:r>
        <w:rPr>
          <w:rFonts w:hint="eastAsia" w:ascii="宋体" w:hAnsi="宋体"/>
          <w:b w:val="0"/>
          <w:bCs w:val="0"/>
        </w:rPr>
        <w:t>）</w:t>
      </w:r>
      <w:r>
        <w:rPr>
          <w:rFonts w:ascii="宋体" w:hAnsi="宋体"/>
          <w:b w:val="0"/>
          <w:bCs w:val="0"/>
        </w:rPr>
        <w:t>联合体协议书</w:t>
      </w:r>
      <w:bookmarkEnd w:id="585"/>
      <w:bookmarkEnd w:id="586"/>
      <w:bookmarkEnd w:id="587"/>
      <w:bookmarkEnd w:id="588"/>
      <w:bookmarkEnd w:id="589"/>
      <w:r>
        <w:rPr>
          <w:rFonts w:hint="eastAsia" w:ascii="宋体" w:hAnsi="宋体"/>
          <w:b w:val="0"/>
          <w:bCs w:val="0"/>
        </w:rPr>
        <w:t>（如有）</w:t>
      </w:r>
      <w:bookmarkEnd w:id="590"/>
      <w:bookmarkEnd w:id="591"/>
    </w:p>
    <w:p>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b/>
          <w:szCs w:val="21"/>
        </w:rPr>
      </w:pPr>
      <w:r>
        <w:rPr>
          <w:rFonts w:hint="eastAsia" w:ascii="宋体" w:hAnsi="宋体"/>
          <w:snapToGrid w:val="0"/>
          <w:szCs w:val="21"/>
        </w:rPr>
        <w:t>2.本协议书由委托代理人签字或盖章的，应附法定代表人签字或盖章的授权委托书。</w:t>
      </w:r>
    </w:p>
    <w:p>
      <w:pPr>
        <w:tabs>
          <w:tab w:val="left" w:pos="2580"/>
          <w:tab w:val="left" w:pos="5940"/>
        </w:tabs>
        <w:autoSpaceDE w:val="0"/>
        <w:autoSpaceDN w:val="0"/>
        <w:adjustRightInd w:val="0"/>
        <w:snapToGrid w:val="0"/>
        <w:spacing w:line="360" w:lineRule="auto"/>
        <w:ind w:firstLine="2940"/>
        <w:jc w:val="left"/>
        <w:rPr>
          <w:rFonts w:ascii="宋体" w:hAnsi="宋体"/>
        </w:rPr>
      </w:pPr>
      <w:bookmarkStart w:id="592" w:name="_Toc224103500"/>
      <w:r>
        <w:rPr>
          <w:rFonts w:ascii="宋体" w:hAnsi="宋体"/>
          <w:sz w:val="32"/>
          <w:szCs w:val="32"/>
        </w:rPr>
        <w:br w:type="page"/>
      </w:r>
      <w:bookmarkStart w:id="593" w:name="_Toc287607872"/>
      <w:bookmarkStart w:id="594" w:name="_Toc430530534"/>
      <w:bookmarkStart w:id="595" w:name="_Toc287620819"/>
    </w:p>
    <w:p>
      <w:pPr>
        <w:pStyle w:val="4"/>
        <w:spacing w:line="360" w:lineRule="auto"/>
        <w:jc w:val="center"/>
        <w:rPr>
          <w:rFonts w:ascii="宋体" w:hAnsi="宋体"/>
          <w:b w:val="0"/>
          <w:bCs w:val="0"/>
          <w:sz w:val="44"/>
          <w:szCs w:val="44"/>
        </w:rPr>
      </w:pPr>
      <w:bookmarkStart w:id="596" w:name="_Toc16312"/>
      <w:r>
        <w:rPr>
          <w:rFonts w:hint="eastAsia" w:ascii="宋体" w:hAnsi="宋体"/>
          <w:b w:val="0"/>
          <w:bCs w:val="0"/>
          <w:sz w:val="44"/>
          <w:szCs w:val="44"/>
        </w:rPr>
        <w:t>二、</w:t>
      </w:r>
      <w:r>
        <w:rPr>
          <w:rFonts w:hint="eastAsia" w:ascii="宋体" w:hAnsi="宋体"/>
          <w:b w:val="0"/>
          <w:bCs w:val="0"/>
          <w:sz w:val="44"/>
          <w:szCs w:val="44"/>
          <w:lang w:eastAsia="zh-CN"/>
        </w:rPr>
        <w:t>技术</w:t>
      </w:r>
      <w:r>
        <w:rPr>
          <w:rFonts w:hint="eastAsia" w:ascii="宋体" w:hAnsi="宋体"/>
          <w:b w:val="0"/>
          <w:bCs w:val="0"/>
          <w:sz w:val="44"/>
          <w:szCs w:val="44"/>
        </w:rPr>
        <w:t>部分</w:t>
      </w:r>
      <w:bookmarkEnd w:id="592"/>
      <w:bookmarkEnd w:id="593"/>
      <w:bookmarkEnd w:id="594"/>
      <w:bookmarkEnd w:id="595"/>
      <w:bookmarkEnd w:id="596"/>
    </w:p>
    <w:p>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lang w:eastAsia="zh-CN"/>
        </w:rPr>
        <w:t>技术</w:t>
      </w:r>
      <w:r>
        <w:rPr>
          <w:rFonts w:hint="eastAsia" w:ascii="宋体" w:hAnsi="宋体"/>
          <w:kern w:val="0"/>
          <w:sz w:val="36"/>
          <w:szCs w:val="36"/>
        </w:rPr>
        <w:t>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5"/>
        <w:spacing w:before="0" w:after="0" w:line="240" w:lineRule="auto"/>
        <w:jc w:val="center"/>
        <w:rPr>
          <w:rFonts w:ascii="宋体" w:hAnsi="宋体"/>
          <w:kern w:val="0"/>
          <w:sz w:val="24"/>
          <w:szCs w:val="21"/>
        </w:rPr>
      </w:pPr>
      <w:bookmarkStart w:id="597" w:name="_Toc224103501"/>
      <w:bookmarkStart w:id="598" w:name="_Toc430530535"/>
      <w:bookmarkStart w:id="599" w:name="_Toc277082648"/>
      <w:bookmarkStart w:id="600" w:name="_Toc287620820"/>
      <w:bookmarkStart w:id="601" w:name="_Toc287607873"/>
      <w:r>
        <w:rPr>
          <w:rFonts w:ascii="宋体" w:hAnsi="宋体"/>
          <w:b w:val="0"/>
          <w:bCs w:val="0"/>
          <w:kern w:val="0"/>
          <w:sz w:val="21"/>
          <w:szCs w:val="21"/>
        </w:rPr>
        <w:br w:type="page"/>
      </w:r>
      <w:bookmarkEnd w:id="597"/>
      <w:bookmarkEnd w:id="598"/>
      <w:bookmarkEnd w:id="599"/>
      <w:bookmarkEnd w:id="600"/>
      <w:bookmarkEnd w:id="601"/>
      <w:bookmarkStart w:id="602" w:name="_Toc287620821"/>
      <w:bookmarkStart w:id="603" w:name="_Toc430530536"/>
      <w:bookmarkStart w:id="604" w:name="_Toc224103502"/>
      <w:bookmarkStart w:id="605" w:name="_Toc287607874"/>
    </w:p>
    <w:bookmarkEnd w:id="602"/>
    <w:bookmarkEnd w:id="603"/>
    <w:bookmarkEnd w:id="604"/>
    <w:bookmarkEnd w:id="605"/>
    <w:p>
      <w:pPr>
        <w:autoSpaceDE w:val="0"/>
        <w:autoSpaceDN w:val="0"/>
        <w:adjustRightInd w:val="0"/>
        <w:snapToGrid w:val="0"/>
        <w:spacing w:line="360" w:lineRule="auto"/>
        <w:jc w:val="left"/>
        <w:rPr>
          <w:rFonts w:ascii="宋体" w:hAnsi="宋体"/>
          <w:kern w:val="0"/>
          <w:sz w:val="24"/>
          <w:szCs w:val="21"/>
        </w:rPr>
      </w:pPr>
    </w:p>
    <w:p>
      <w:pPr>
        <w:pStyle w:val="4"/>
        <w:spacing w:line="360" w:lineRule="auto"/>
        <w:jc w:val="center"/>
        <w:rPr>
          <w:rFonts w:ascii="宋体" w:hAnsi="宋体"/>
          <w:b w:val="0"/>
          <w:bCs w:val="0"/>
          <w:sz w:val="44"/>
          <w:szCs w:val="44"/>
        </w:rPr>
      </w:pPr>
      <w:bookmarkStart w:id="606" w:name="_Toc287607882"/>
      <w:bookmarkStart w:id="607" w:name="_Toc224103510"/>
      <w:bookmarkStart w:id="608" w:name="_Toc430530545"/>
      <w:bookmarkStart w:id="609" w:name="_Toc287620829"/>
      <w:bookmarkStart w:id="610" w:name="_Toc277082656"/>
      <w:bookmarkStart w:id="611" w:name="_Toc28854"/>
      <w:r>
        <w:rPr>
          <w:rFonts w:hint="eastAsia" w:ascii="宋体" w:hAnsi="宋体"/>
          <w:b w:val="0"/>
          <w:bCs w:val="0"/>
          <w:sz w:val="44"/>
          <w:szCs w:val="44"/>
          <w:lang w:eastAsia="zh-CN"/>
        </w:rPr>
        <w:t>三</w:t>
      </w:r>
      <w:r>
        <w:rPr>
          <w:rFonts w:hint="eastAsia" w:ascii="宋体" w:hAnsi="宋体"/>
          <w:b w:val="0"/>
          <w:bCs w:val="0"/>
          <w:sz w:val="44"/>
          <w:szCs w:val="44"/>
        </w:rPr>
        <w:t>、</w:t>
      </w:r>
      <w:bookmarkEnd w:id="606"/>
      <w:bookmarkEnd w:id="607"/>
      <w:bookmarkEnd w:id="608"/>
      <w:bookmarkEnd w:id="609"/>
      <w:bookmarkEnd w:id="610"/>
      <w:r>
        <w:rPr>
          <w:rFonts w:hint="eastAsia" w:ascii="宋体" w:hAnsi="宋体"/>
          <w:b w:val="0"/>
          <w:bCs w:val="0"/>
          <w:sz w:val="44"/>
          <w:szCs w:val="44"/>
        </w:rPr>
        <w:t>资格审查部分</w:t>
      </w:r>
      <w:bookmarkEnd w:id="611"/>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pPr>
        <w:spacing w:line="360" w:lineRule="auto"/>
        <w:jc w:val="center"/>
        <w:rPr>
          <w:rFonts w:ascii="宋体" w:hAnsi="宋体"/>
          <w:b/>
          <w:kern w:val="0"/>
          <w:sz w:val="32"/>
          <w:szCs w:val="32"/>
        </w:rPr>
      </w:pP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spacing w:line="360" w:lineRule="auto"/>
        <w:ind w:firstLine="420" w:firstLineChars="200"/>
        <w:rPr>
          <w:rFonts w:ascii="宋体" w:hAnsi="宋体"/>
          <w:szCs w:val="21"/>
        </w:rPr>
      </w:pPr>
      <w:r>
        <w:rPr>
          <w:rFonts w:ascii="宋体" w:hAnsi="宋体"/>
          <w:szCs w:val="21"/>
        </w:rPr>
        <w:t>（二）联合体协议书</w:t>
      </w:r>
      <w:r>
        <w:rPr>
          <w:rFonts w:hint="eastAsia" w:ascii="宋体" w:hAnsi="宋体"/>
          <w:szCs w:val="21"/>
        </w:rPr>
        <w:t>（如有）</w:t>
      </w:r>
    </w:p>
    <w:p>
      <w:pPr>
        <w:spacing w:line="360" w:lineRule="auto"/>
        <w:ind w:firstLine="420" w:firstLineChars="200"/>
        <w:rPr>
          <w:rFonts w:ascii="宋体" w:hAnsi="宋体"/>
          <w:szCs w:val="21"/>
        </w:rPr>
      </w:pPr>
      <w:r>
        <w:rPr>
          <w:rFonts w:ascii="宋体" w:hAnsi="宋体"/>
          <w:szCs w:val="21"/>
        </w:rPr>
        <w:t>（三）投标人基本情况表</w:t>
      </w:r>
    </w:p>
    <w:p>
      <w:pPr>
        <w:spacing w:line="360" w:lineRule="auto"/>
        <w:ind w:firstLine="420" w:firstLineChars="200"/>
        <w:rPr>
          <w:rFonts w:ascii="宋体" w:hAnsi="宋体"/>
          <w:szCs w:val="21"/>
        </w:rPr>
      </w:pPr>
      <w:r>
        <w:rPr>
          <w:rFonts w:ascii="宋体" w:hAnsi="宋体"/>
          <w:szCs w:val="21"/>
        </w:rPr>
        <w:t>（四）近年财务状况表</w:t>
      </w:r>
    </w:p>
    <w:p>
      <w:pPr>
        <w:spacing w:line="360" w:lineRule="auto"/>
        <w:ind w:firstLine="420" w:firstLineChars="200"/>
        <w:rPr>
          <w:rFonts w:ascii="宋体" w:hAnsi="宋体"/>
          <w:szCs w:val="21"/>
        </w:rPr>
      </w:pPr>
      <w:r>
        <w:rPr>
          <w:rFonts w:ascii="宋体" w:hAnsi="宋体"/>
          <w:szCs w:val="21"/>
        </w:rPr>
        <w:t>（五）类似项目情况表</w:t>
      </w:r>
    </w:p>
    <w:p>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承诺</w:t>
      </w:r>
    </w:p>
    <w:p>
      <w:pPr>
        <w:spacing w:line="360" w:lineRule="auto"/>
        <w:ind w:firstLine="420" w:firstLineChars="200"/>
        <w:rPr>
          <w:rFonts w:ascii="宋体" w:hAnsi="宋体"/>
          <w:szCs w:val="21"/>
        </w:rPr>
      </w:pPr>
      <w:r>
        <w:rPr>
          <w:rFonts w:ascii="宋体" w:hAnsi="宋体"/>
          <w:szCs w:val="21"/>
        </w:rPr>
        <w:t>（七）其他资料</w:t>
      </w:r>
    </w:p>
    <w:p>
      <w:pPr>
        <w:spacing w:line="360" w:lineRule="auto"/>
        <w:jc w:val="center"/>
        <w:rPr>
          <w:rFonts w:ascii="宋体" w:hAnsi="宋体"/>
          <w:b/>
          <w:kern w:val="0"/>
          <w:sz w:val="32"/>
          <w:szCs w:val="32"/>
        </w:rPr>
      </w:pPr>
    </w:p>
    <w:p>
      <w:pPr>
        <w:spacing w:line="360" w:lineRule="auto"/>
        <w:jc w:val="center"/>
        <w:rPr>
          <w:rFonts w:ascii="宋体" w:hAnsi="宋体"/>
          <w:b/>
          <w:kern w:val="0"/>
          <w:sz w:val="32"/>
          <w:szCs w:val="32"/>
        </w:rPr>
      </w:pPr>
    </w:p>
    <w:p>
      <w:pPr>
        <w:pStyle w:val="5"/>
        <w:spacing w:before="0" w:after="0" w:line="240" w:lineRule="auto"/>
        <w:jc w:val="center"/>
        <w:rPr>
          <w:rFonts w:ascii="宋体" w:hAnsi="宋体"/>
          <w:sz w:val="36"/>
          <w:szCs w:val="36"/>
        </w:rPr>
      </w:pPr>
      <w:r>
        <w:rPr>
          <w:rFonts w:ascii="宋体" w:hAnsi="宋体"/>
        </w:rPr>
        <w:br w:type="page"/>
      </w:r>
      <w:bookmarkStart w:id="612" w:name="_Toc430530546"/>
      <w:bookmarkStart w:id="613" w:name="_Toc224103511"/>
      <w:bookmarkStart w:id="614" w:name="_Toc287607883"/>
      <w:bookmarkStart w:id="615" w:name="_Toc287620830"/>
      <w:bookmarkStart w:id="616" w:name="_Toc11760"/>
      <w:bookmarkStart w:id="617" w:name="_Toc277082657"/>
      <w:r>
        <w:rPr>
          <w:rFonts w:hint="eastAsia" w:ascii="宋体" w:hAnsi="宋体"/>
          <w:b w:val="0"/>
          <w:bCs w:val="0"/>
        </w:rPr>
        <w:t>（一）法定代表人身份证明或附有法定代表人身份证明的授权委托书</w:t>
      </w:r>
      <w:bookmarkEnd w:id="612"/>
      <w:bookmarkEnd w:id="613"/>
      <w:bookmarkEnd w:id="614"/>
      <w:bookmarkEnd w:id="615"/>
      <w:bookmarkEnd w:id="616"/>
      <w:bookmarkEnd w:id="617"/>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pStyle w:val="2"/>
        <w:spacing w:after="0" w:line="360" w:lineRule="auto"/>
        <w:rPr>
          <w:rFonts w:ascii="宋体" w:hAnsi="宋体"/>
          <w:szCs w:val="21"/>
        </w:rPr>
      </w:pPr>
    </w:p>
    <w:p>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jc w:val="left"/>
        <w:rPr>
          <w:rFonts w:ascii="宋体" w:hAnsi="宋体"/>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hint="eastAsia" w:ascii="宋体" w:hAnsi="宋体"/>
          <w:spacing w:val="-1"/>
          <w:kern w:val="0"/>
          <w:szCs w:val="21"/>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center"/>
        <w:rPr>
          <w:rFonts w:ascii="宋体" w:hAnsi="宋体"/>
        </w:rPr>
      </w:pPr>
      <w:r>
        <w:rPr>
          <w:rFonts w:ascii="宋体" w:hAnsi="宋体"/>
        </w:rPr>
        <w:br w:type="page"/>
      </w:r>
    </w:p>
    <w:p>
      <w:pPr>
        <w:pStyle w:val="5"/>
        <w:spacing w:before="0" w:after="0" w:line="240" w:lineRule="auto"/>
        <w:jc w:val="center"/>
        <w:rPr>
          <w:rFonts w:ascii="宋体" w:hAnsi="宋体"/>
          <w:b w:val="0"/>
          <w:bCs w:val="0"/>
        </w:rPr>
      </w:pPr>
      <w:bookmarkStart w:id="618" w:name="_Toc430530547"/>
      <w:bookmarkStart w:id="619" w:name="_Toc963"/>
      <w:bookmarkStart w:id="620" w:name="_Toc287620831"/>
      <w:bookmarkStart w:id="621" w:name="_Toc277082658"/>
      <w:bookmarkStart w:id="622" w:name="_Toc287607884"/>
      <w:bookmarkStart w:id="623" w:name="_Toc224103512"/>
      <w:r>
        <w:rPr>
          <w:rFonts w:hint="eastAsia" w:ascii="宋体" w:hAnsi="宋体"/>
          <w:b w:val="0"/>
          <w:bCs w:val="0"/>
        </w:rPr>
        <w:t>（二）联合体协议书</w:t>
      </w:r>
      <w:bookmarkEnd w:id="618"/>
      <w:r>
        <w:rPr>
          <w:rFonts w:hint="eastAsia" w:ascii="宋体" w:hAnsi="宋体"/>
          <w:b w:val="0"/>
          <w:bCs w:val="0"/>
        </w:rPr>
        <w:t>（如有）</w:t>
      </w:r>
      <w:bookmarkEnd w:id="619"/>
    </w:p>
    <w:bookmarkEnd w:id="620"/>
    <w:bookmarkEnd w:id="621"/>
    <w:bookmarkEnd w:id="622"/>
    <w:bookmarkEnd w:id="623"/>
    <w:p>
      <w:pPr>
        <w:autoSpaceDE w:val="0"/>
        <w:autoSpaceDN w:val="0"/>
        <w:adjustRightInd w:val="0"/>
        <w:snapToGrid w:val="0"/>
        <w:spacing w:line="500" w:lineRule="exact"/>
        <w:ind w:firstLine="420" w:firstLineChars="200"/>
        <w:rPr>
          <w:rFonts w:ascii="宋体" w:hAnsi="宋体"/>
          <w:snapToGrid w:val="0"/>
          <w:kern w:val="0"/>
          <w:szCs w:val="21"/>
        </w:rPr>
      </w:pPr>
      <w:bookmarkStart w:id="624" w:name="_Toc277082659"/>
      <w:bookmarkStart w:id="625" w:name="_Toc287607887"/>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pPr>
              <w:autoSpaceDE w:val="0"/>
              <w:autoSpaceDN w:val="0"/>
              <w:adjustRightInd w:val="0"/>
              <w:snapToGrid w:val="0"/>
              <w:spacing w:line="500" w:lineRule="exact"/>
              <w:ind w:firstLine="420"/>
              <w:jc w:val="left"/>
              <w:rPr>
                <w:rFonts w:ascii="宋体" w:hAnsi="宋体"/>
                <w:snapToGrid w:val="0"/>
                <w:kern w:val="0"/>
                <w:szCs w:val="21"/>
              </w:rPr>
            </w:pPr>
          </w:p>
        </w:tc>
      </w:tr>
    </w:tbl>
    <w:p>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pPr>
        <w:autoSpaceDE w:val="0"/>
        <w:autoSpaceDN w:val="0"/>
        <w:adjustRightInd w:val="0"/>
        <w:snapToGrid w:val="0"/>
        <w:spacing w:line="500" w:lineRule="exact"/>
        <w:ind w:firstLine="390" w:firstLineChars="186"/>
        <w:jc w:val="left"/>
        <w:rPr>
          <w:rFonts w:ascii="宋体" w:hAnsi="宋体"/>
          <w:snapToGrid w:val="0"/>
          <w:kern w:val="0"/>
          <w:szCs w:val="21"/>
        </w:rPr>
      </w:pPr>
    </w:p>
    <w:p>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spacing w:line="360" w:lineRule="auto"/>
        <w:jc w:val="center"/>
        <w:rPr>
          <w:rFonts w:ascii="宋体" w:hAnsi="宋体"/>
          <w:snapToGrid w:val="0"/>
          <w:szCs w:val="21"/>
        </w:rPr>
      </w:pPr>
    </w:p>
    <w:p>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pPr>
        <w:spacing w:line="500" w:lineRule="exact"/>
        <w:ind w:firstLine="420" w:firstLineChars="200"/>
        <w:jc w:val="left"/>
        <w:rPr>
          <w:rFonts w:ascii="宋体" w:hAnsi="宋体"/>
          <w:szCs w:val="21"/>
        </w:rPr>
      </w:pPr>
      <w:r>
        <w:rPr>
          <w:rFonts w:hint="eastAsia" w:ascii="宋体" w:hAnsi="宋体"/>
          <w:snapToGrid w:val="0"/>
          <w:szCs w:val="21"/>
        </w:rPr>
        <w:t>2.</w:t>
      </w:r>
      <w:r>
        <w:rPr>
          <w:rFonts w:ascii="宋体" w:hAnsi="宋体"/>
          <w:snapToGrid w:val="0"/>
          <w:szCs w:val="21"/>
        </w:rPr>
        <w:t>本协议书由委托代理人</w:t>
      </w:r>
      <w:r>
        <w:rPr>
          <w:rFonts w:hint="eastAsia" w:ascii="宋体" w:hAnsi="宋体"/>
          <w:snapToGrid w:val="0"/>
          <w:szCs w:val="21"/>
        </w:rPr>
        <w:t>签字</w:t>
      </w:r>
      <w:r>
        <w:rPr>
          <w:rFonts w:ascii="宋体" w:hAnsi="宋体"/>
          <w:snapToGrid w:val="0"/>
          <w:szCs w:val="21"/>
        </w:rPr>
        <w:t>或盖章的，应附法定代表人</w:t>
      </w:r>
      <w:r>
        <w:rPr>
          <w:rFonts w:hint="eastAsia" w:ascii="宋体" w:hAnsi="宋体"/>
          <w:snapToGrid w:val="0"/>
          <w:szCs w:val="21"/>
        </w:rPr>
        <w:t>签字</w:t>
      </w:r>
      <w:r>
        <w:rPr>
          <w:rFonts w:ascii="宋体" w:hAnsi="宋体"/>
          <w:snapToGrid w:val="0"/>
          <w:szCs w:val="21"/>
        </w:rPr>
        <w:t>或盖章的授权委托书。</w:t>
      </w:r>
    </w:p>
    <w:p>
      <w:pPr>
        <w:spacing w:line="20" w:lineRule="exact"/>
        <w:jc w:val="center"/>
        <w:rPr>
          <w:rFonts w:ascii="宋体" w:hAnsi="宋体"/>
          <w:szCs w:val="21"/>
        </w:rPr>
      </w:pPr>
    </w:p>
    <w:p>
      <w:pPr>
        <w:pStyle w:val="5"/>
        <w:spacing w:before="0" w:after="0" w:line="240" w:lineRule="auto"/>
        <w:jc w:val="center"/>
        <w:rPr>
          <w:rFonts w:ascii="宋体" w:hAnsi="宋体"/>
        </w:rPr>
      </w:pPr>
      <w:r>
        <w:rPr>
          <w:rFonts w:ascii="宋体" w:hAnsi="宋体"/>
          <w:szCs w:val="21"/>
        </w:rPr>
        <w:br w:type="page"/>
      </w:r>
      <w:bookmarkStart w:id="626" w:name="_Toc2293"/>
      <w:r>
        <w:rPr>
          <w:rFonts w:hint="eastAsia" w:ascii="宋体" w:hAnsi="宋体"/>
          <w:b w:val="0"/>
          <w:bCs w:val="0"/>
        </w:rPr>
        <w:t>（三）投标人基本情况表</w:t>
      </w:r>
      <w:bookmarkEnd w:id="626"/>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rPr>
            </w:pPr>
          </w:p>
        </w:tc>
        <w:tc>
          <w:tcPr>
            <w:tcW w:w="967" w:type="dxa"/>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jc w:val="center"/>
              <w:rPr>
                <w:rFonts w:ascii="宋体" w:hAnsi="宋体"/>
                <w:kern w:val="0"/>
                <w:szCs w:val="21"/>
              </w:rPr>
            </w:pPr>
          </w:p>
        </w:tc>
        <w:tc>
          <w:tcPr>
            <w:tcW w:w="139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jc w:val="center"/>
              <w:rPr>
                <w:rFonts w:ascii="宋体" w:hAnsi="宋体"/>
                <w:kern w:val="0"/>
                <w:szCs w:val="21"/>
              </w:rPr>
            </w:pPr>
          </w:p>
        </w:tc>
        <w:tc>
          <w:tcPr>
            <w:tcW w:w="1356" w:type="dxa"/>
            <w:gridSpan w:val="2"/>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jc w:val="center"/>
              <w:rPr>
                <w:rFonts w:ascii="宋体" w:hAnsi="宋体"/>
                <w:kern w:val="0"/>
                <w:szCs w:val="21"/>
              </w:rPr>
            </w:pPr>
          </w:p>
        </w:tc>
        <w:tc>
          <w:tcPr>
            <w:tcW w:w="925"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5616" w:type="dxa"/>
            <w:gridSpan w:val="7"/>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restart"/>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jc w:val="center"/>
              <w:rPr>
                <w:rFonts w:ascii="宋体" w:hAnsi="宋体"/>
                <w:kern w:val="0"/>
                <w:szCs w:val="21"/>
              </w:rPr>
            </w:pPr>
          </w:p>
        </w:tc>
        <w:tc>
          <w:tcPr>
            <w:tcW w:w="904" w:type="dxa"/>
            <w:vMerge w:val="continue"/>
            <w:vAlign w:val="center"/>
          </w:tcPr>
          <w:p>
            <w:pPr>
              <w:autoSpaceDE w:val="0"/>
              <w:autoSpaceDN w:val="0"/>
              <w:adjustRightInd w:val="0"/>
              <w:snapToGrid w:val="0"/>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5"/>
        <w:spacing w:before="0" w:line="240" w:lineRule="auto"/>
        <w:jc w:val="center"/>
        <w:rPr>
          <w:rFonts w:ascii="宋体" w:hAnsi="宋体"/>
          <w:b w:val="0"/>
        </w:rPr>
      </w:pPr>
      <w:r>
        <w:rPr>
          <w:rFonts w:ascii="宋体" w:hAnsi="宋体"/>
          <w:szCs w:val="21"/>
        </w:rPr>
        <w:br w:type="page"/>
      </w:r>
      <w:bookmarkStart w:id="627" w:name="_Toc509218863"/>
      <w:bookmarkStart w:id="628" w:name="_Toc534185840"/>
      <w:bookmarkStart w:id="629" w:name="_Toc6097"/>
      <w:r>
        <w:rPr>
          <w:rFonts w:hint="eastAsia" w:ascii="宋体" w:hAnsi="宋体"/>
          <w:b w:val="0"/>
          <w:bCs w:val="0"/>
        </w:rPr>
        <w:t>（四）</w:t>
      </w:r>
      <w:bookmarkEnd w:id="624"/>
      <w:bookmarkEnd w:id="625"/>
      <w:bookmarkEnd w:id="627"/>
      <w:bookmarkEnd w:id="628"/>
      <w:bookmarkEnd w:id="629"/>
      <w:bookmarkStart w:id="630" w:name="_Toc534185841"/>
      <w:bookmarkStart w:id="631" w:name="_Toc277082660"/>
      <w:bookmarkStart w:id="632" w:name="_Toc287607888"/>
      <w:bookmarkStart w:id="633" w:name="_Toc430530550"/>
      <w:bookmarkStart w:id="634" w:name="_Toc224103515"/>
      <w:bookmarkStart w:id="635" w:name="_Toc287620834"/>
      <w:bookmarkStart w:id="636" w:name="_Toc14486"/>
      <w:bookmarkStart w:id="637" w:name="_Toc509218864"/>
      <w:r>
        <w:rPr>
          <w:rFonts w:hint="eastAsia" w:ascii="宋体" w:hAnsi="宋体"/>
          <w:b w:val="0"/>
        </w:rPr>
        <w:t>近年财务状况表</w:t>
      </w:r>
      <w:bookmarkEnd w:id="630"/>
      <w:bookmarkEnd w:id="631"/>
      <w:bookmarkEnd w:id="632"/>
      <w:bookmarkEnd w:id="633"/>
      <w:bookmarkEnd w:id="634"/>
      <w:bookmarkEnd w:id="635"/>
      <w:bookmarkEnd w:id="636"/>
      <w:bookmarkEnd w:id="637"/>
    </w:p>
    <w:p>
      <w:pPr>
        <w:adjustRightInd w:val="0"/>
        <w:snapToGrid w:val="0"/>
        <w:spacing w:line="360" w:lineRule="auto"/>
        <w:rPr>
          <w:rFonts w:ascii="宋体" w:hAnsi="宋体"/>
        </w:rPr>
      </w:pPr>
      <w:r>
        <w:rPr>
          <w:rFonts w:ascii="宋体" w:hAnsi="宋体"/>
        </w:rPr>
        <w:br w:type="page"/>
      </w:r>
    </w:p>
    <w:p>
      <w:pPr>
        <w:pStyle w:val="5"/>
        <w:spacing w:before="0" w:line="240" w:lineRule="auto"/>
        <w:jc w:val="center"/>
        <w:rPr>
          <w:rFonts w:ascii="宋体" w:hAnsi="宋体"/>
          <w:b w:val="0"/>
        </w:rPr>
      </w:pPr>
      <w:bookmarkStart w:id="638" w:name="_Toc224103516"/>
      <w:bookmarkStart w:id="639" w:name="_Toc534185842"/>
      <w:bookmarkStart w:id="640" w:name="_Toc509218865"/>
      <w:bookmarkStart w:id="641" w:name="_Toc277082661"/>
      <w:bookmarkStart w:id="642" w:name="_Toc287620835"/>
      <w:bookmarkStart w:id="643" w:name="_Toc430530551"/>
      <w:bookmarkStart w:id="644" w:name="_Toc13355"/>
      <w:bookmarkStart w:id="645" w:name="_Toc287607889"/>
      <w:r>
        <w:rPr>
          <w:rFonts w:ascii="宋体" w:hAnsi="宋体"/>
          <w:b w:val="0"/>
        </w:rPr>
        <w:t>（</w:t>
      </w:r>
      <w:r>
        <w:rPr>
          <w:rFonts w:hint="eastAsia" w:ascii="宋体" w:hAnsi="宋体"/>
          <w:b w:val="0"/>
          <w:lang w:eastAsia="zh-CN"/>
        </w:rPr>
        <w:t>五</w:t>
      </w:r>
      <w:r>
        <w:rPr>
          <w:rFonts w:ascii="宋体" w:hAnsi="宋体"/>
          <w:b w:val="0"/>
        </w:rPr>
        <w:t>）类似项目情况表</w:t>
      </w:r>
      <w:bookmarkEnd w:id="638"/>
      <w:bookmarkEnd w:id="639"/>
      <w:bookmarkEnd w:id="640"/>
      <w:bookmarkEnd w:id="641"/>
      <w:bookmarkEnd w:id="642"/>
      <w:bookmarkEnd w:id="643"/>
      <w:bookmarkEnd w:id="644"/>
      <w:bookmarkEnd w:id="645"/>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4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1"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59"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048" w:hRule="exact"/>
          <w:jc w:val="center"/>
        </w:trPr>
        <w:tc>
          <w:tcPr>
            <w:tcW w:w="1456" w:type="dxa"/>
            <w:vAlign w:val="center"/>
          </w:tcPr>
          <w:p>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jc w:val="center"/>
              <w:rPr>
                <w:rFonts w:ascii="宋体" w:hAnsi="宋体"/>
                <w:kern w:val="0"/>
                <w:szCs w:val="21"/>
              </w:rPr>
            </w:pPr>
          </w:p>
        </w:tc>
      </w:tr>
    </w:tbl>
    <w:p>
      <w:pPr>
        <w:pStyle w:val="5"/>
        <w:spacing w:before="0" w:line="360" w:lineRule="auto"/>
        <w:jc w:val="center"/>
        <w:rPr>
          <w:rFonts w:ascii="宋体" w:hAnsi="宋体"/>
          <w:b w:val="0"/>
        </w:rPr>
      </w:pPr>
      <w:bookmarkStart w:id="646" w:name="_Toc509218866"/>
      <w:bookmarkStart w:id="647" w:name="_Toc287620839"/>
      <w:bookmarkStart w:id="648" w:name="_Toc277082663"/>
      <w:bookmarkStart w:id="649" w:name="_Toc224103520"/>
      <w:bookmarkStart w:id="650" w:name="_Toc430530552"/>
      <w:bookmarkStart w:id="651" w:name="_Toc534185843"/>
      <w:bookmarkStart w:id="652" w:name="_Toc287607893"/>
      <w:bookmarkStart w:id="653" w:name="_Toc5612"/>
      <w:r>
        <w:rPr>
          <w:rFonts w:ascii="宋体" w:hAnsi="宋体"/>
          <w:b w:val="0"/>
        </w:rPr>
        <w:t>（</w:t>
      </w:r>
      <w:r>
        <w:rPr>
          <w:rFonts w:hint="eastAsia" w:ascii="宋体" w:hAnsi="宋体"/>
          <w:b w:val="0"/>
          <w:lang w:eastAsia="zh-CN"/>
        </w:rPr>
        <w:t>六</w:t>
      </w:r>
      <w:r>
        <w:rPr>
          <w:rFonts w:ascii="宋体" w:hAnsi="宋体"/>
          <w:b w:val="0"/>
        </w:rPr>
        <w:t>）</w:t>
      </w:r>
      <w:bookmarkEnd w:id="646"/>
      <w:bookmarkEnd w:id="647"/>
      <w:bookmarkEnd w:id="648"/>
      <w:bookmarkEnd w:id="649"/>
      <w:bookmarkEnd w:id="650"/>
      <w:bookmarkEnd w:id="651"/>
      <w:bookmarkEnd w:id="652"/>
      <w:r>
        <w:rPr>
          <w:rFonts w:hint="eastAsia" w:ascii="宋体" w:hAnsi="宋体"/>
          <w:b w:val="0"/>
        </w:rPr>
        <w:t>承诺</w:t>
      </w:r>
      <w:bookmarkEnd w:id="653"/>
    </w:p>
    <w:p>
      <w:pPr>
        <w:snapToGrid w:val="0"/>
        <w:spacing w:line="380" w:lineRule="exact"/>
        <w:rPr>
          <w:rFonts w:ascii="宋体" w:hAnsi="宋体"/>
          <w:szCs w:val="21"/>
          <w:u w:val="single"/>
        </w:rPr>
      </w:pPr>
      <w:r>
        <w:rPr>
          <w:rFonts w:hint="eastAsia" w:ascii="宋体" w:hAnsi="宋体"/>
          <w:szCs w:val="21"/>
          <w:u w:val="single"/>
        </w:rPr>
        <w:t xml:space="preserve">        （采购人名称）</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pPr>
        <w:snapToGrid w:val="0"/>
        <w:spacing w:line="380" w:lineRule="exact"/>
        <w:ind w:firstLine="420" w:firstLineChars="200"/>
        <w:rPr>
          <w:rFonts w:ascii="宋体" w:hAnsi="宋体"/>
          <w:szCs w:val="21"/>
        </w:rPr>
      </w:pPr>
      <w:r>
        <w:rPr>
          <w:rFonts w:hint="eastAsia" w:ascii="宋体" w:hAnsi="宋体"/>
          <w:szCs w:val="21"/>
        </w:rPr>
        <w:t>（2）被列入《重庆市工程建设领域采购投标信用管理暂行办法》规定的重点关注名单且记分达到12分且在记分有效期内；</w:t>
      </w:r>
    </w:p>
    <w:p>
      <w:pPr>
        <w:snapToGrid w:val="0"/>
        <w:spacing w:line="380" w:lineRule="exact"/>
        <w:ind w:firstLine="420" w:firstLineChars="200"/>
        <w:rPr>
          <w:rFonts w:ascii="宋体" w:hAnsi="宋体"/>
          <w:szCs w:val="21"/>
        </w:rPr>
      </w:pPr>
      <w:r>
        <w:rPr>
          <w:rFonts w:hint="eastAsia" w:ascii="宋体" w:hAnsi="宋体"/>
          <w:szCs w:val="21"/>
        </w:rPr>
        <w:t>（3）被列入《重庆市工程建设领域采购投标信用管理暂行办法》规定的黑名单且在记分有效期内；</w:t>
      </w:r>
    </w:p>
    <w:p>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赔偿责任。</w:t>
      </w:r>
    </w:p>
    <w:p>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pPr>
        <w:snapToGrid w:val="0"/>
        <w:spacing w:line="38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pPr>
        <w:snapToGrid w:val="0"/>
        <w:spacing w:line="38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pPr>
        <w:snapToGrid w:val="0"/>
        <w:spacing w:line="380" w:lineRule="exact"/>
        <w:ind w:firstLine="420" w:firstLineChars="200"/>
        <w:rPr>
          <w:rFonts w:ascii="宋体" w:hAnsi="宋体"/>
          <w:szCs w:val="21"/>
        </w:rPr>
      </w:pPr>
      <w:r>
        <w:rPr>
          <w:rFonts w:hint="eastAsia" w:ascii="宋体" w:hAnsi="宋体"/>
          <w:szCs w:val="21"/>
        </w:rPr>
        <w:t>7、我公司的投标文件符合第四章 合同条款及格式规定，投标文件中没有采购人不能接受的条件。</w:t>
      </w:r>
    </w:p>
    <w:p>
      <w:pPr>
        <w:snapToGrid w:val="0"/>
        <w:spacing w:line="380" w:lineRule="exact"/>
        <w:ind w:firstLine="420" w:firstLineChars="200"/>
        <w:rPr>
          <w:rFonts w:ascii="宋体" w:hAnsi="宋体"/>
          <w:szCs w:val="21"/>
        </w:rPr>
      </w:pPr>
      <w:r>
        <w:rPr>
          <w:rFonts w:hint="eastAsia" w:ascii="宋体" w:hAnsi="宋体"/>
          <w:szCs w:val="21"/>
        </w:rPr>
        <w:t>8、我公司的投标文件符合第七章 技术标准和要求（如有）。</w:t>
      </w:r>
    </w:p>
    <w:p>
      <w:pPr>
        <w:snapToGrid w:val="0"/>
        <w:spacing w:line="380" w:lineRule="exact"/>
        <w:ind w:firstLine="420" w:firstLineChars="200"/>
        <w:rPr>
          <w:rFonts w:ascii="宋体" w:hAnsi="宋体"/>
          <w:szCs w:val="21"/>
        </w:rPr>
      </w:pPr>
    </w:p>
    <w:p>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bookmarkEnd w:id="476"/>
    <w:bookmarkEnd w:id="477"/>
    <w:bookmarkEnd w:id="478"/>
    <w:p>
      <w:pPr>
        <w:rPr>
          <w:rFonts w:ascii="宋体" w:hAnsi="宋体"/>
          <w:szCs w:val="21"/>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2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wNzVkNWM2YTYxZTQyOTFiNWVjZjliYmNmODNiYjQifQ=="/>
  </w:docVars>
  <w:rsids>
    <w:rsidRoot w:val="00000000"/>
    <w:rsid w:val="015C7220"/>
    <w:rsid w:val="03304250"/>
    <w:rsid w:val="035E581E"/>
    <w:rsid w:val="04697A6F"/>
    <w:rsid w:val="05960319"/>
    <w:rsid w:val="0BC55E7E"/>
    <w:rsid w:val="145F6743"/>
    <w:rsid w:val="170C3129"/>
    <w:rsid w:val="178C32BE"/>
    <w:rsid w:val="1867416E"/>
    <w:rsid w:val="186C7681"/>
    <w:rsid w:val="20737E3F"/>
    <w:rsid w:val="20F7115D"/>
    <w:rsid w:val="21E401AA"/>
    <w:rsid w:val="22795622"/>
    <w:rsid w:val="25D578A9"/>
    <w:rsid w:val="25DE4CE0"/>
    <w:rsid w:val="285223EF"/>
    <w:rsid w:val="2ADA242A"/>
    <w:rsid w:val="2D04416D"/>
    <w:rsid w:val="2F281646"/>
    <w:rsid w:val="30C329C2"/>
    <w:rsid w:val="33236134"/>
    <w:rsid w:val="338A1E5A"/>
    <w:rsid w:val="35020CF9"/>
    <w:rsid w:val="36712DEE"/>
    <w:rsid w:val="3A105C66"/>
    <w:rsid w:val="3C9E5816"/>
    <w:rsid w:val="3EE9440D"/>
    <w:rsid w:val="410E1E35"/>
    <w:rsid w:val="41723553"/>
    <w:rsid w:val="46502609"/>
    <w:rsid w:val="4C0F09B4"/>
    <w:rsid w:val="503F0BFC"/>
    <w:rsid w:val="526C64D6"/>
    <w:rsid w:val="52A9201F"/>
    <w:rsid w:val="52CE2BDF"/>
    <w:rsid w:val="54643D7A"/>
    <w:rsid w:val="556A4052"/>
    <w:rsid w:val="5AF25B24"/>
    <w:rsid w:val="5B5451A1"/>
    <w:rsid w:val="5D1010E4"/>
    <w:rsid w:val="5D1D28C1"/>
    <w:rsid w:val="64354E6C"/>
    <w:rsid w:val="64B23F10"/>
    <w:rsid w:val="67C36D51"/>
    <w:rsid w:val="6AAB0F10"/>
    <w:rsid w:val="6F3422C8"/>
    <w:rsid w:val="741B6F1A"/>
    <w:rsid w:val="78066252"/>
    <w:rsid w:val="79773031"/>
    <w:rsid w:val="7AA22938"/>
    <w:rsid w:val="7C444D20"/>
    <w:rsid w:val="7EA36C73"/>
    <w:rsid w:val="7F4F7B17"/>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00"/>
    <w:qFormat/>
    <w:uiPriority w:val="0"/>
    <w:pPr>
      <w:keepNext/>
      <w:keepLines/>
      <w:spacing w:before="260" w:after="260" w:line="416" w:lineRule="auto"/>
      <w:outlineLvl w:val="2"/>
    </w:pPr>
    <w:rPr>
      <w:b/>
      <w:bCs/>
      <w:sz w:val="32"/>
      <w:szCs w:val="32"/>
    </w:rPr>
  </w:style>
  <w:style w:type="paragraph" w:styleId="6">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9"/>
    <w:qFormat/>
    <w:uiPriority w:val="0"/>
    <w:pPr>
      <w:keepNext/>
      <w:keepLines/>
      <w:ind w:firstLine="200" w:firstLineChars="200"/>
      <w:outlineLvl w:val="5"/>
    </w:pPr>
    <w:rPr>
      <w:rFonts w:hAnsi="Arial"/>
    </w:rPr>
  </w:style>
  <w:style w:type="paragraph" w:styleId="10">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qFormat/>
    <w:uiPriority w:val="1"/>
  </w:style>
  <w:style w:type="table" w:default="1" w:styleId="46">
    <w:name w:val="Normal Table"/>
    <w:qFormat/>
    <w:uiPriority w:val="99"/>
    <w:tblPr>
      <w:tblCellMar>
        <w:top w:w="0" w:type="dxa"/>
        <w:left w:w="108" w:type="dxa"/>
        <w:bottom w:w="0" w:type="dxa"/>
        <w:right w:w="108" w:type="dxa"/>
      </w:tblCellMar>
    </w:tblPr>
  </w:style>
  <w:style w:type="paragraph" w:styleId="2">
    <w:name w:val="Body Text"/>
    <w:basedOn w:val="1"/>
    <w:next w:val="1"/>
    <w:link w:val="226"/>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3"/>
    <w:qFormat/>
    <w:uiPriority w:val="0"/>
    <w:pPr>
      <w:shd w:val="clear" w:color="auto" w:fill="000080"/>
    </w:pPr>
  </w:style>
  <w:style w:type="paragraph" w:styleId="16">
    <w:name w:val="annotation text"/>
    <w:basedOn w:val="1"/>
    <w:link w:val="306"/>
    <w:qFormat/>
    <w:uiPriority w:val="99"/>
    <w:pPr>
      <w:jc w:val="left"/>
    </w:pPr>
  </w:style>
  <w:style w:type="paragraph" w:styleId="17">
    <w:name w:val="Body Text 3"/>
    <w:basedOn w:val="1"/>
    <w:link w:val="258"/>
    <w:qFormat/>
    <w:uiPriority w:val="0"/>
    <w:pPr>
      <w:spacing w:after="120"/>
    </w:pPr>
    <w:rPr>
      <w:sz w:val="16"/>
      <w:szCs w:val="16"/>
    </w:rPr>
  </w:style>
  <w:style w:type="paragraph" w:styleId="18">
    <w:name w:val="Body Text Indent"/>
    <w:basedOn w:val="1"/>
    <w:link w:val="241"/>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3"/>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7"/>
    <w:qFormat/>
    <w:uiPriority w:val="0"/>
    <w:pPr>
      <w:ind w:left="100" w:leftChars="2500"/>
    </w:pPr>
  </w:style>
  <w:style w:type="paragraph" w:styleId="26">
    <w:name w:val="Body Text Indent 2"/>
    <w:basedOn w:val="1"/>
    <w:link w:val="238"/>
    <w:qFormat/>
    <w:uiPriority w:val="0"/>
    <w:pPr>
      <w:widowControl/>
      <w:spacing w:line="480" w:lineRule="auto"/>
      <w:ind w:firstLine="560"/>
      <w:jc w:val="left"/>
    </w:pPr>
    <w:rPr>
      <w:kern w:val="0"/>
      <w:sz w:val="28"/>
    </w:rPr>
  </w:style>
  <w:style w:type="paragraph" w:styleId="27">
    <w:name w:val="endnote text"/>
    <w:basedOn w:val="1"/>
    <w:link w:val="211"/>
    <w:qFormat/>
    <w:uiPriority w:val="0"/>
    <w:pPr>
      <w:widowControl/>
      <w:snapToGrid w:val="0"/>
      <w:jc w:val="left"/>
    </w:pPr>
    <w:rPr>
      <w:rFonts w:ascii="Arial" w:hAnsi="Arial" w:cs="Arial"/>
      <w:kern w:val="0"/>
      <w:sz w:val="20"/>
      <w:lang w:eastAsia="en-US"/>
    </w:rPr>
  </w:style>
  <w:style w:type="paragraph" w:styleId="28">
    <w:name w:val="Balloon Text"/>
    <w:basedOn w:val="1"/>
    <w:link w:val="206"/>
    <w:qFormat/>
    <w:uiPriority w:val="0"/>
    <w:rPr>
      <w:sz w:val="18"/>
      <w:szCs w:val="18"/>
    </w:rPr>
  </w:style>
  <w:style w:type="paragraph" w:styleId="29">
    <w:name w:val="footer"/>
    <w:basedOn w:val="1"/>
    <w:link w:val="198"/>
    <w:qFormat/>
    <w:uiPriority w:val="0"/>
    <w:pPr>
      <w:tabs>
        <w:tab w:val="center" w:pos="4153"/>
        <w:tab w:val="right" w:pos="8306"/>
      </w:tabs>
      <w:snapToGrid w:val="0"/>
      <w:jc w:val="left"/>
    </w:pPr>
    <w:rPr>
      <w:sz w:val="18"/>
      <w:szCs w:val="18"/>
    </w:rPr>
  </w:style>
  <w:style w:type="paragraph" w:styleId="30">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8"/>
    <w:qFormat/>
    <w:uiPriority w:val="0"/>
    <w:pPr>
      <w:widowControl/>
      <w:jc w:val="center"/>
    </w:pPr>
    <w:rPr>
      <w:kern w:val="0"/>
      <w:sz w:val="20"/>
      <w:u w:val="single"/>
      <w:lang w:eastAsia="en-US"/>
    </w:rPr>
  </w:style>
  <w:style w:type="paragraph" w:styleId="34">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2"/>
    <w:qFormat/>
    <w:uiPriority w:val="0"/>
    <w:rPr>
      <w:i/>
      <w:iCs/>
      <w:sz w:val="26"/>
    </w:rPr>
  </w:style>
  <w:style w:type="paragraph" w:styleId="40">
    <w:name w:val="HTML Preformatted"/>
    <w:basedOn w:val="1"/>
    <w:link w:val="16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7"/>
    <w:qFormat/>
    <w:uiPriority w:val="0"/>
    <w:pPr>
      <w:widowControl/>
      <w:jc w:val="center"/>
    </w:pPr>
    <w:rPr>
      <w:kern w:val="0"/>
      <w:sz w:val="20"/>
      <w:u w:val="single"/>
      <w:lang w:eastAsia="en-US"/>
    </w:rPr>
  </w:style>
  <w:style w:type="paragraph" w:styleId="44">
    <w:name w:val="annotation subject"/>
    <w:basedOn w:val="16"/>
    <w:next w:val="16"/>
    <w:link w:val="281"/>
    <w:qFormat/>
    <w:uiPriority w:val="0"/>
    <w:rPr>
      <w:b/>
      <w:bCs/>
    </w:rPr>
  </w:style>
  <w:style w:type="paragraph" w:styleId="45">
    <w:name w:val="Body Text First Indent"/>
    <w:basedOn w:val="1"/>
    <w:qFormat/>
    <w:uiPriority w:val="99"/>
    <w:pPr>
      <w:spacing w:line="360" w:lineRule="auto"/>
      <w:ind w:firstLine="420"/>
    </w:pPr>
    <w:rPr>
      <w:rFonts w:ascii="宋体" w:hAnsi="宋体"/>
      <w:sz w:val="24"/>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styleId="57">
    <w:name w:val="List Paragraph"/>
    <w:basedOn w:val="1"/>
    <w:qFormat/>
    <w:uiPriority w:val="99"/>
    <w:pPr>
      <w:ind w:firstLine="420" w:firstLineChars="200"/>
    </w:pPr>
    <w:rPr>
      <w:sz w:val="28"/>
      <w:szCs w:val="28"/>
    </w:rPr>
  </w:style>
  <w:style w:type="paragraph" w:customStyle="1" w:styleId="58">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3"/>
    <w:next w:val="1"/>
    <w:qFormat/>
    <w:uiPriority w:val="0"/>
    <w:pPr>
      <w:outlineLvl w:val="9"/>
    </w:pPr>
    <w:rPr>
      <w:rFonts w:ascii="Calibri" w:hAnsi="Calibri"/>
    </w:rPr>
  </w:style>
  <w:style w:type="paragraph" w:customStyle="1" w:styleId="69">
    <w:name w:val="样式1"/>
    <w:basedOn w:val="1"/>
    <w:next w:val="6"/>
    <w:qFormat/>
    <w:uiPriority w:val="0"/>
    <w:pPr>
      <w:spacing w:line="360" w:lineRule="auto"/>
      <w:ind w:firstLine="420" w:firstLineChars="200"/>
    </w:pPr>
    <w:rPr>
      <w:rFonts w:ascii="宋体" w:hAnsi="宋体"/>
      <w:szCs w:val="21"/>
    </w:rPr>
  </w:style>
  <w:style w:type="paragraph" w:customStyle="1" w:styleId="70">
    <w:name w:val="列出段落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5"/>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2">
    <w:name w:val="Intense Quote"/>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4"/>
    <w:next w:val="20"/>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5"/>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8">
    <w:name w:val="Quote"/>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5"/>
    <w:link w:val="285"/>
    <w:qFormat/>
    <w:uiPriority w:val="0"/>
    <w:pPr>
      <w:spacing w:line="413" w:lineRule="auto"/>
    </w:pPr>
    <w:rPr>
      <w:rFonts w:ascii="Arial" w:hAnsi="Arial"/>
      <w:kern w:val="0"/>
      <w:sz w:val="24"/>
    </w:rPr>
  </w:style>
  <w:style w:type="paragraph"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
    <w:basedOn w:val="1"/>
    <w:next w:val="1"/>
    <w:link w:val="249"/>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
    <w:basedOn w:val="1"/>
    <w:next w:val="1"/>
    <w:link w:val="263"/>
    <w:qFormat/>
    <w:uiPriority w:val="29"/>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0"/>
    <w:rPr>
      <w:sz w:val="18"/>
      <w:szCs w:val="18"/>
    </w:rPr>
  </w:style>
  <w:style w:type="character" w:customStyle="1" w:styleId="159">
    <w:name w:val="标题 4 Char2"/>
    <w:link w:val="6"/>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Char3"/>
    <w:link w:val="40"/>
    <w:qFormat/>
    <w:uiPriority w:val="0"/>
    <w:rPr>
      <w:rFonts w:ascii="宋体" w:hAnsi="宋体" w:eastAsia="宋体" w:cs="宋体"/>
      <w:color w:val="000000"/>
      <w:sz w:val="24"/>
      <w:szCs w:val="24"/>
      <w:lang w:val="en-US" w:eastAsia="zh-CN" w:bidi="ar-SA"/>
    </w:rPr>
  </w:style>
  <w:style w:type="character" w:customStyle="1" w:styleId="163">
    <w:name w:val="文档结构图 Char4"/>
    <w:link w:val="15"/>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Char4"/>
    <w:link w:val="25"/>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qFormat/>
    <w:uiPriority w:val="99"/>
    <w:rPr>
      <w:rFonts w:ascii="Calibri" w:hAnsi="Calibri" w:eastAsia="宋体" w:cs="Times New Roman"/>
      <w:szCs w:val="24"/>
    </w:rPr>
  </w:style>
  <w:style w:type="character" w:customStyle="1" w:styleId="186">
    <w:name w:val="标题 1 Char2"/>
    <w:link w:val="3"/>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Char4"/>
    <w:link w:val="118"/>
    <w:qFormat/>
    <w:uiPriority w:val="0"/>
    <w:rPr>
      <w:i/>
      <w:iCs/>
      <w:color w:val="000000"/>
      <w:kern w:val="2"/>
      <w:sz w:val="21"/>
      <w:szCs w:val="22"/>
      <w:lang w:bidi="ar-SA"/>
    </w:rPr>
  </w:style>
  <w:style w:type="character" w:customStyle="1" w:styleId="190">
    <w:name w:val="批注框文本 Char3"/>
    <w:qFormat/>
    <w:uiPriority w:val="99"/>
    <w:rPr>
      <w:rFonts w:ascii="Calibri" w:hAnsi="Calibri" w:eastAsia="宋体" w:cs="Times New Roman"/>
      <w:sz w:val="18"/>
      <w:szCs w:val="18"/>
    </w:rPr>
  </w:style>
  <w:style w:type="character" w:customStyle="1" w:styleId="191">
    <w:name w:val="标题 2 Char2"/>
    <w:link w:val="4"/>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8"/>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Char2"/>
    <w:link w:val="29"/>
    <w:qFormat/>
    <w:uiPriority w:val="0"/>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Char3"/>
    <w:link w:val="23"/>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Char4"/>
    <w:link w:val="28"/>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Char3"/>
    <w:link w:val="27"/>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8"/>
    <w:qFormat/>
    <w:uiPriority w:val="0"/>
  </w:style>
  <w:style w:type="character" w:customStyle="1" w:styleId="226">
    <w:name w:val="正文文本 Char4"/>
    <w:link w:val="2"/>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Char2"/>
    <w:link w:val="8"/>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Char"/>
    <w:link w:val="39"/>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Char3"/>
    <w:link w:val="43"/>
    <w:qFormat/>
    <w:uiPriority w:val="0"/>
    <w:rPr>
      <w:rFonts w:eastAsia="宋体"/>
      <w:szCs w:val="24"/>
      <w:u w:val="single"/>
      <w:lang w:val="en-US" w:eastAsia="en-US" w:bidi="ar-SA"/>
    </w:rPr>
  </w:style>
  <w:style w:type="character" w:customStyle="1" w:styleId="238">
    <w:name w:val="正文文本缩进 2 Char3"/>
    <w:link w:val="26"/>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Char3"/>
    <w:link w:val="18"/>
    <w:qFormat/>
    <w:uiPriority w:val="0"/>
    <w:rPr>
      <w:rFonts w:eastAsia="宋体"/>
      <w:kern w:val="2"/>
      <w:sz w:val="21"/>
      <w:szCs w:val="24"/>
      <w:lang w:val="en-US" w:eastAsia="zh-CN" w:bidi="ar-SA"/>
    </w:rPr>
  </w:style>
  <w:style w:type="character" w:customStyle="1" w:styleId="242">
    <w:name w:val="标题 9 Char2"/>
    <w:link w:val="12"/>
    <w:qFormat/>
    <w:uiPriority w:val="0"/>
    <w:rPr>
      <w:rFonts w:eastAsia="仿宋_GB2312"/>
      <w:sz w:val="30"/>
      <w:lang w:val="en-US" w:eastAsia="zh-CN" w:bidi="ar-SA"/>
    </w:rPr>
  </w:style>
  <w:style w:type="character" w:customStyle="1" w:styleId="243">
    <w:name w:val="标题 8 Char2"/>
    <w:link w:val="11"/>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Char3"/>
    <w:link w:val="36"/>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qFormat/>
    <w:uiPriority w:val="99"/>
    <w:rPr>
      <w:rFonts w:ascii="Calibri" w:hAnsi="Calibri" w:eastAsia="宋体" w:cs="Times New Roman"/>
      <w:b/>
      <w:bCs/>
      <w:szCs w:val="24"/>
    </w:rPr>
  </w:style>
  <w:style w:type="character" w:customStyle="1" w:styleId="249">
    <w:name w:val="明显引用 Char1"/>
    <w:link w:val="133"/>
    <w:qFormat/>
    <w:uiPriority w:val="30"/>
    <w:rPr>
      <w:b/>
      <w:bCs/>
      <w:i/>
      <w:iCs/>
      <w:color w:val="4F81BD"/>
      <w:kern w:val="2"/>
      <w:sz w:val="21"/>
    </w:rPr>
  </w:style>
  <w:style w:type="character" w:customStyle="1" w:styleId="250">
    <w:name w:val="HTML 预设格式 Char2"/>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qFormat/>
    <w:uiPriority w:val="99"/>
    <w:rPr>
      <w:kern w:val="2"/>
      <w:sz w:val="18"/>
      <w:szCs w:val="18"/>
    </w:rPr>
  </w:style>
  <w:style w:type="character" w:customStyle="1" w:styleId="255">
    <w:name w:val="unnamed1"/>
    <w:basedOn w:val="48"/>
    <w:qFormat/>
    <w:uiPriority w:val="0"/>
  </w:style>
  <w:style w:type="character" w:customStyle="1" w:styleId="256">
    <w:name w:val="Char Char9"/>
    <w:qFormat/>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Char3"/>
    <w:link w:val="17"/>
    <w:qFormat/>
    <w:uiPriority w:val="0"/>
    <w:rPr>
      <w:rFonts w:eastAsia="宋体"/>
      <w:kern w:val="2"/>
      <w:sz w:val="16"/>
      <w:szCs w:val="16"/>
      <w:lang w:val="en-US" w:eastAsia="zh-CN" w:bidi="ar-SA"/>
    </w:rPr>
  </w:style>
  <w:style w:type="character" w:customStyle="1" w:styleId="259">
    <w:name w:val="纯文本 Char2"/>
    <w:qFormat/>
    <w:uiPriority w:val="99"/>
    <w:rPr>
      <w:rFonts w:ascii="宋体" w:hAnsi="Courier New" w:eastAsia="宋体" w:cs="Courier New"/>
      <w:szCs w:val="21"/>
    </w:rPr>
  </w:style>
  <w:style w:type="character" w:customStyle="1" w:styleId="260">
    <w:name w:val="intel3"/>
    <w:basedOn w:val="48"/>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29"/>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Char2"/>
    <w:link w:val="7"/>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Char4"/>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Char4"/>
    <w:link w:val="44"/>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Char2"/>
    <w:link w:val="10"/>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Char3"/>
    <w:link w:val="34"/>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Char2"/>
    <w:link w:val="30"/>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qFormat/>
    <w:uiPriority w:val="99"/>
    <w:rPr>
      <w:rFonts w:ascii="宋体" w:hAnsi="Calibri" w:eastAsia="宋体" w:cs="Times New Roman"/>
      <w:sz w:val="18"/>
      <w:szCs w:val="18"/>
    </w:rPr>
  </w:style>
  <w:style w:type="character" w:customStyle="1" w:styleId="300">
    <w:name w:val="标题 3 Char2"/>
    <w:link w:val="5"/>
    <w:qFormat/>
    <w:uiPriority w:val="0"/>
    <w:rPr>
      <w:rFonts w:eastAsia="宋体"/>
      <w:b/>
      <w:bCs/>
      <w:kern w:val="2"/>
      <w:sz w:val="32"/>
      <w:szCs w:val="32"/>
      <w:lang w:val="en-US" w:eastAsia="zh-CN" w:bidi="ar-SA"/>
    </w:rPr>
  </w:style>
  <w:style w:type="character" w:customStyle="1" w:styleId="301">
    <w:name w:val="正文文本 3 Char2"/>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Char3"/>
    <w:link w:val="16"/>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Char3"/>
    <w:link w:val="33"/>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Table Paragraph"/>
    <w:basedOn w:val="1"/>
    <w:qFormat/>
    <w:uiPriority w:val="1"/>
    <w:pPr>
      <w:autoSpaceDE w:val="0"/>
      <w:autoSpaceDN w:val="0"/>
      <w:jc w:val="left"/>
    </w:pPr>
    <w:rPr>
      <w:rFonts w:ascii="宋体" w:hAnsi="宋体" w:cs="宋体"/>
      <w:kern w:val="0"/>
      <w:sz w:val="22"/>
      <w:szCs w:val="22"/>
    </w:rPr>
  </w:style>
  <w:style w:type="character" w:customStyle="1" w:styleId="314">
    <w:name w:val="fontstyle01"/>
    <w:basedOn w:val="48"/>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NSF</Company>
  <Pages>64</Pages>
  <Words>23253</Words>
  <Characters>24566</Characters>
  <Paragraphs>5525</Paragraphs>
  <TotalTime>7</TotalTime>
  <ScaleCrop>false</ScaleCrop>
  <LinksUpToDate>false</LinksUpToDate>
  <CharactersWithSpaces>27962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2023-05-05T01:14:00Z</dcterms:created>
  <dc:creator>USER</dc:creator>
  <cp:lastModifiedBy>陶国源</cp:lastModifiedBy>
  <cp:lastPrinted>2022-10-02T02:26:00Z</cp:lastPrinted>
  <dcterms:modified xsi:type="dcterms:W3CDTF">2023-05-19T00:36:39Z</dcterms:modified>
  <dc:title>第一卷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6EACA28C3FAA4215B922F245062D51E3_13</vt:lpwstr>
  </property>
</Properties>
</file>