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799773">
      <w:pPr>
        <w:spacing w:line="594" w:lineRule="exact"/>
        <w:jc w:val="center"/>
        <w:rPr>
          <w:rFonts w:hint="eastAsia" w:ascii="方正小标宋_GBK" w:eastAsia="方正小标宋_GBK"/>
          <w:sz w:val="32"/>
          <w:szCs w:val="32"/>
          <w:lang w:val="en-US" w:eastAsia="zh-CN"/>
        </w:rPr>
      </w:pPr>
      <w:r>
        <w:rPr>
          <w:rFonts w:hint="eastAsia" w:ascii="方正小标宋_GBK" w:eastAsia="方正小标宋_GBK"/>
          <w:sz w:val="32"/>
          <w:szCs w:val="32"/>
          <w:lang w:eastAsia="zh-CN"/>
        </w:rPr>
        <w:t>中汽零部件</w:t>
      </w:r>
      <w:r>
        <w:rPr>
          <w:rFonts w:hint="eastAsia" w:ascii="方正小标宋_GBK" w:eastAsia="方正小标宋_GBK"/>
          <w:sz w:val="32"/>
          <w:szCs w:val="32"/>
          <w:lang w:val="en-US" w:eastAsia="zh-CN"/>
        </w:rPr>
        <w:t>2000KVA增容配电安装工程</w:t>
      </w:r>
    </w:p>
    <w:p w14:paraId="4B03C64C">
      <w:pPr>
        <w:spacing w:line="594" w:lineRule="exact"/>
        <w:jc w:val="center"/>
        <w:rPr>
          <w:rFonts w:ascii="方正小标宋_GBK" w:eastAsia="方正小标宋_GBK"/>
          <w:sz w:val="32"/>
          <w:szCs w:val="32"/>
        </w:rPr>
      </w:pPr>
      <w:r>
        <w:rPr>
          <w:rFonts w:hint="eastAsia" w:ascii="方正小标宋_GBK" w:eastAsia="方正小标宋_GBK"/>
          <w:sz w:val="32"/>
          <w:szCs w:val="32"/>
        </w:rPr>
        <w:t>招标答疑文件</w:t>
      </w:r>
    </w:p>
    <w:p w14:paraId="15DD529A">
      <w:pPr>
        <w:spacing w:line="594" w:lineRule="exact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各潜在</w:t>
      </w:r>
      <w:r>
        <w:rPr>
          <w:rFonts w:ascii="宋体" w:hAnsi="宋体"/>
          <w:sz w:val="24"/>
        </w:rPr>
        <w:t>投标人：</w:t>
      </w:r>
    </w:p>
    <w:p w14:paraId="4FC055B0">
      <w:pPr>
        <w:spacing w:line="594" w:lineRule="exact"/>
        <w:ind w:firstLine="560"/>
        <w:jc w:val="left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现将“</w:t>
      </w:r>
      <w:r>
        <w:rPr>
          <w:rFonts w:hint="eastAsia" w:ascii="宋体" w:hAnsi="宋体"/>
          <w:sz w:val="24"/>
          <w:lang w:eastAsia="zh-CN"/>
        </w:rPr>
        <w:t>中汽零部件</w:t>
      </w:r>
      <w:r>
        <w:rPr>
          <w:rFonts w:hint="eastAsia" w:ascii="宋体" w:hAnsi="宋体"/>
          <w:sz w:val="24"/>
          <w:lang w:val="en-US" w:eastAsia="zh-CN"/>
        </w:rPr>
        <w:t>2000KVA增容配电安装工程</w:t>
      </w:r>
      <w:r>
        <w:rPr>
          <w:rFonts w:hint="eastAsia" w:ascii="宋体" w:hAnsi="宋体"/>
          <w:sz w:val="24"/>
        </w:rPr>
        <w:t>”答疑发布。本答疑澄清文件是在招标文件的基础上作出的澄清、说明或补正，与招标文件具有同等法律效力，若相关内容与原招标文件不一致时，一律以本答疑澄清文件内容为准。</w:t>
      </w:r>
    </w:p>
    <w:p w14:paraId="70A53AAE">
      <w:pPr>
        <w:spacing w:line="594" w:lineRule="exact"/>
        <w:rPr>
          <w:rFonts w:hint="eastAsia" w:ascii="宋体" w:hAnsi="宋体"/>
          <w:b/>
          <w:bCs/>
          <w:sz w:val="24"/>
        </w:rPr>
      </w:pPr>
      <w:r>
        <w:rPr>
          <w:rFonts w:hint="eastAsia" w:ascii="宋体" w:hAnsi="宋体"/>
          <w:b/>
          <w:sz w:val="24"/>
        </w:rPr>
        <w:t>答</w:t>
      </w:r>
      <w:r>
        <w:rPr>
          <w:rFonts w:hint="eastAsia" w:ascii="宋体" w:hAnsi="宋体"/>
          <w:b/>
          <w:bCs/>
          <w:sz w:val="24"/>
        </w:rPr>
        <w:t>疑部分</w:t>
      </w:r>
    </w:p>
    <w:p w14:paraId="2D9D126A">
      <w:pPr>
        <w:spacing w:line="594" w:lineRule="exact"/>
        <w:ind w:firstLine="480" w:firstLineChars="200"/>
        <w:rPr>
          <w:rFonts w:hint="default" w:ascii="宋体" w:hAnsi="宋体"/>
          <w:b w:val="0"/>
          <w:bCs w:val="0"/>
          <w:sz w:val="24"/>
          <w:lang w:val="en-US"/>
        </w:rPr>
      </w:pPr>
      <w:r>
        <w:rPr>
          <w:rFonts w:hint="eastAsia" w:ascii="宋体" w:hAnsi="宋体"/>
          <w:b w:val="0"/>
          <w:bCs w:val="0"/>
          <w:sz w:val="24"/>
        </w:rPr>
        <w:t>问题</w:t>
      </w:r>
      <w:r>
        <w:rPr>
          <w:rFonts w:hint="eastAsia" w:ascii="宋体" w:hAnsi="宋体"/>
          <w:b w:val="0"/>
          <w:bCs w:val="0"/>
          <w:sz w:val="24"/>
          <w:lang w:eastAsia="zh-CN"/>
        </w:rPr>
        <w:t>一</w:t>
      </w:r>
      <w:r>
        <w:rPr>
          <w:rFonts w:hint="eastAsia" w:ascii="宋体" w:hAnsi="宋体"/>
          <w:b w:val="0"/>
          <w:bCs w:val="0"/>
          <w:sz w:val="24"/>
        </w:rPr>
        <w:t>：</w:t>
      </w:r>
      <w:r>
        <w:rPr>
          <w:rFonts w:hint="eastAsia" w:ascii="宋体" w:hAnsi="宋体"/>
          <w:b w:val="0"/>
          <w:bCs w:val="0"/>
          <w:sz w:val="24"/>
          <w:lang w:eastAsia="zh-CN"/>
        </w:rPr>
        <w:t>招标文件中财务要求：</w:t>
      </w:r>
      <w:r>
        <w:rPr>
          <w:rFonts w:hint="eastAsia" w:ascii="宋体" w:hAnsi="宋体"/>
          <w:b w:val="0"/>
          <w:bCs w:val="0"/>
          <w:sz w:val="24"/>
          <w:lang w:val="en-US" w:eastAsia="zh-CN"/>
        </w:rPr>
        <w:t>2023、2024、2025年的年度财务状况不亏损。请问：2024年成立的是否可以直接提供2024年和2025年的财务报告？</w:t>
      </w:r>
    </w:p>
    <w:p w14:paraId="7577A8B9">
      <w:pPr>
        <w:spacing w:line="594" w:lineRule="exact"/>
        <w:ind w:firstLine="482" w:firstLineChars="200"/>
        <w:rPr>
          <w:rFonts w:hint="eastAsia" w:ascii="宋体" w:hAnsi="宋体" w:eastAsiaTheme="minorEastAsia"/>
          <w:sz w:val="24"/>
          <w:lang w:eastAsia="zh-CN"/>
        </w:rPr>
      </w:pPr>
      <w:r>
        <w:rPr>
          <w:rFonts w:hint="eastAsia" w:ascii="宋体" w:hAnsi="宋体"/>
          <w:b/>
          <w:bCs/>
          <w:sz w:val="24"/>
        </w:rPr>
        <w:t>回答</w:t>
      </w:r>
      <w:r>
        <w:rPr>
          <w:rFonts w:ascii="宋体" w:hAnsi="宋体"/>
          <w:b/>
          <w:bCs/>
          <w:sz w:val="24"/>
        </w:rPr>
        <w:t>：</w:t>
      </w:r>
      <w:r>
        <w:rPr>
          <w:rFonts w:hint="eastAsia" w:ascii="宋体" w:hAnsi="宋体"/>
          <w:b/>
          <w:bCs/>
          <w:sz w:val="24"/>
          <w:lang w:eastAsia="zh-CN"/>
        </w:rPr>
        <w:t>按招标文件要求执行。</w:t>
      </w:r>
    </w:p>
    <w:p w14:paraId="21EFFF19">
      <w:pPr>
        <w:spacing w:line="594" w:lineRule="exact"/>
        <w:ind w:firstLine="480" w:firstLineChars="200"/>
        <w:rPr>
          <w:rFonts w:hint="eastAsia" w:ascii="宋体" w:hAnsi="宋体"/>
          <w:sz w:val="24"/>
          <w:lang w:val="en-US" w:eastAsia="zh-CN"/>
        </w:rPr>
      </w:pPr>
      <w:r>
        <w:rPr>
          <w:rFonts w:hint="eastAsia" w:ascii="宋体" w:hAnsi="宋体"/>
          <w:sz w:val="24"/>
          <w:lang w:eastAsia="zh-CN"/>
        </w:rPr>
        <w:t>问题二：招标文件内容：</w:t>
      </w:r>
      <w:r>
        <w:rPr>
          <w:rFonts w:hint="eastAsia" w:ascii="宋体" w:hAnsi="宋体"/>
          <w:sz w:val="24"/>
          <w:lang w:val="en-US" w:eastAsia="zh-CN"/>
        </w:rPr>
        <w:t>6.其他要求（1）项目技术负责人：竞选人拟派的技术负责人须是竞选单位人员，具备机电类中级及以上职称。电气或者电力专业的技术负责人是否符合本次招标要求？</w:t>
      </w:r>
    </w:p>
    <w:p w14:paraId="31C7F043">
      <w:pPr>
        <w:spacing w:line="594" w:lineRule="exact"/>
        <w:ind w:firstLine="482" w:firstLineChars="200"/>
        <w:rPr>
          <w:rFonts w:hint="eastAsia" w:ascii="宋体" w:hAnsi="宋体" w:eastAsiaTheme="minorEastAsia"/>
          <w:b/>
          <w:bCs/>
          <w:sz w:val="24"/>
          <w:lang w:eastAsia="zh-CN"/>
        </w:rPr>
      </w:pPr>
      <w:r>
        <w:rPr>
          <w:rFonts w:hint="eastAsia" w:ascii="宋体" w:hAnsi="宋体"/>
          <w:b/>
          <w:bCs/>
          <w:sz w:val="24"/>
        </w:rPr>
        <w:t>回答</w:t>
      </w:r>
      <w:r>
        <w:rPr>
          <w:rFonts w:ascii="宋体" w:hAnsi="宋体"/>
          <w:b/>
          <w:bCs/>
          <w:sz w:val="24"/>
        </w:rPr>
        <w:t>：</w:t>
      </w:r>
      <w:r>
        <w:rPr>
          <w:rFonts w:hint="eastAsia" w:ascii="宋体" w:hAnsi="宋体"/>
          <w:b/>
          <w:bCs/>
          <w:sz w:val="24"/>
          <w:lang w:eastAsia="zh-CN"/>
        </w:rPr>
        <w:t>符合，项目技术负责人须满足招标文件要求。</w:t>
      </w:r>
      <w:bookmarkStart w:id="0" w:name="_GoBack"/>
      <w:bookmarkEnd w:id="0"/>
    </w:p>
    <w:p w14:paraId="58A48911">
      <w:pPr>
        <w:spacing w:line="594" w:lineRule="exact"/>
        <w:ind w:firstLine="480" w:firstLineChars="200"/>
        <w:rPr>
          <w:rFonts w:hint="eastAsia" w:ascii="宋体" w:hAnsi="宋体"/>
          <w:sz w:val="24"/>
          <w:lang w:eastAsia="zh-CN"/>
        </w:rPr>
      </w:pPr>
      <w:r>
        <w:rPr>
          <w:rFonts w:hint="eastAsia" w:ascii="宋体" w:hAnsi="宋体"/>
          <w:sz w:val="24"/>
          <w:lang w:eastAsia="zh-CN"/>
        </w:rPr>
        <w:t>问题三：本项目是否取得市南供电公司用电批复？如有请提供。</w:t>
      </w:r>
    </w:p>
    <w:p w14:paraId="0A5C6463">
      <w:pPr>
        <w:spacing w:line="594" w:lineRule="exact"/>
        <w:ind w:firstLine="482" w:firstLineChars="200"/>
        <w:rPr>
          <w:rFonts w:hint="eastAsia" w:ascii="宋体" w:hAnsi="宋体"/>
          <w:b/>
          <w:bCs/>
          <w:sz w:val="24"/>
          <w:lang w:eastAsia="zh-CN"/>
        </w:rPr>
      </w:pPr>
      <w:r>
        <w:rPr>
          <w:rFonts w:hint="eastAsia" w:ascii="宋体" w:hAnsi="宋体"/>
          <w:b/>
          <w:bCs/>
          <w:sz w:val="24"/>
        </w:rPr>
        <w:t>回答</w:t>
      </w:r>
      <w:r>
        <w:rPr>
          <w:rFonts w:ascii="宋体" w:hAnsi="宋体"/>
          <w:b/>
          <w:bCs/>
          <w:sz w:val="24"/>
        </w:rPr>
        <w:t>：</w:t>
      </w:r>
      <w:r>
        <w:rPr>
          <w:rFonts w:hint="eastAsia" w:ascii="宋体" w:hAnsi="宋体"/>
          <w:b/>
          <w:bCs/>
          <w:sz w:val="24"/>
          <w:lang w:eastAsia="zh-CN"/>
        </w:rPr>
        <w:t>该项目取得高压供电方案答复单，详见补遗文件。</w:t>
      </w:r>
    </w:p>
    <w:p w14:paraId="12C28038">
      <w:pPr>
        <w:spacing w:line="594" w:lineRule="exact"/>
        <w:rPr>
          <w:rFonts w:hint="eastAsia" w:ascii="宋体" w:hAnsi="宋体"/>
          <w:b/>
          <w:bCs/>
          <w:sz w:val="24"/>
        </w:rPr>
      </w:pPr>
      <w:r>
        <w:rPr>
          <w:rFonts w:hint="eastAsia" w:ascii="宋体" w:hAnsi="宋体"/>
          <w:b/>
          <w:sz w:val="24"/>
          <w:lang w:eastAsia="zh-CN"/>
        </w:rPr>
        <w:t>补遗</w:t>
      </w:r>
      <w:r>
        <w:rPr>
          <w:rFonts w:hint="eastAsia" w:ascii="宋体" w:hAnsi="宋体"/>
          <w:b/>
          <w:bCs/>
          <w:sz w:val="24"/>
        </w:rPr>
        <w:t>部分</w:t>
      </w:r>
    </w:p>
    <w:p w14:paraId="49302026">
      <w:pPr>
        <w:pStyle w:val="2"/>
        <w:ind w:firstLine="482" w:firstLineChars="200"/>
        <w:rPr>
          <w:rFonts w:hint="eastAsia" w:eastAsiaTheme="minorEastAsia"/>
          <w:lang w:val="en-US" w:eastAsia="zh-CN"/>
        </w:rPr>
      </w:pPr>
      <w:r>
        <w:rPr>
          <w:rFonts w:hint="eastAsia" w:ascii="宋体" w:hAnsi="宋体"/>
          <w:b/>
          <w:bCs/>
          <w:sz w:val="24"/>
          <w:lang w:val="en-US" w:eastAsia="zh-CN"/>
        </w:rPr>
        <w:t>本项目高压供电方案答复单以招标人发布的为准。</w:t>
      </w:r>
    </w:p>
    <w:p w14:paraId="28A3FEA7">
      <w:pPr>
        <w:pStyle w:val="2"/>
        <w:rPr>
          <w:rFonts w:hint="eastAsia"/>
          <w:lang w:eastAsia="zh-CN"/>
        </w:rPr>
      </w:pPr>
    </w:p>
    <w:p w14:paraId="36837083">
      <w:pPr>
        <w:pStyle w:val="2"/>
        <w:rPr>
          <w:rFonts w:hint="eastAsia"/>
          <w:lang w:val="en-US" w:eastAsia="zh-CN"/>
        </w:rPr>
      </w:pPr>
    </w:p>
    <w:p w14:paraId="1C682760">
      <w:pPr>
        <w:pStyle w:val="2"/>
        <w:rPr>
          <w:rFonts w:hint="eastAsia"/>
          <w:lang w:eastAsia="zh-CN"/>
        </w:rPr>
      </w:pPr>
    </w:p>
    <w:p w14:paraId="3311A4C6">
      <w:pPr>
        <w:spacing w:line="594" w:lineRule="exact"/>
        <w:ind w:firstLine="4200" w:firstLineChars="175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招标人</w:t>
      </w:r>
      <w:r>
        <w:rPr>
          <w:rFonts w:ascii="宋体" w:hAnsi="宋体"/>
          <w:sz w:val="24"/>
        </w:rPr>
        <w:t>：重庆经开区开发建设有限公司</w:t>
      </w:r>
    </w:p>
    <w:p w14:paraId="5DCE0EC3">
      <w:pPr>
        <w:spacing w:line="594" w:lineRule="exact"/>
        <w:ind w:firstLine="4080" w:firstLineChars="1700"/>
        <w:rPr>
          <w:rFonts w:hint="eastAsia" w:ascii="宋体" w:hAnsi="宋体" w:eastAsiaTheme="minorEastAsia"/>
          <w:sz w:val="24"/>
          <w:lang w:eastAsia="zh-CN"/>
        </w:rPr>
      </w:pPr>
      <w:r>
        <w:rPr>
          <w:rFonts w:hint="eastAsia" w:ascii="宋体" w:hAnsi="宋体"/>
          <w:sz w:val="24"/>
          <w:lang w:eastAsia="zh-CN"/>
        </w:rPr>
        <w:t>招标代理：重庆广阳湾环境治理有限公司</w:t>
      </w:r>
    </w:p>
    <w:p w14:paraId="7DCA9962">
      <w:pPr>
        <w:spacing w:line="594" w:lineRule="exact"/>
        <w:ind w:firstLine="5520" w:firstLineChars="2300"/>
        <w:rPr>
          <w:rFonts w:hint="eastAsia" w:ascii="宋体" w:hAnsi="宋体"/>
          <w:sz w:val="24"/>
        </w:rPr>
      </w:pPr>
      <w:r>
        <w:rPr>
          <w:rFonts w:ascii="宋体" w:hAnsi="宋体"/>
          <w:sz w:val="24"/>
        </w:rPr>
        <w:t>202</w:t>
      </w:r>
      <w:r>
        <w:rPr>
          <w:rFonts w:hint="eastAsia" w:ascii="宋体" w:hAnsi="宋体"/>
          <w:sz w:val="24"/>
          <w:lang w:val="en-US" w:eastAsia="zh-CN"/>
        </w:rPr>
        <w:t>6</w:t>
      </w:r>
      <w:r>
        <w:rPr>
          <w:rFonts w:hint="eastAsia" w:ascii="宋体" w:hAnsi="宋体"/>
          <w:sz w:val="24"/>
        </w:rPr>
        <w:t>年</w:t>
      </w:r>
      <w:r>
        <w:rPr>
          <w:rFonts w:hint="eastAsia" w:ascii="宋体" w:hAnsi="宋体"/>
          <w:sz w:val="24"/>
          <w:lang w:val="en-US" w:eastAsia="zh-CN"/>
        </w:rPr>
        <w:t>9</w:t>
      </w:r>
      <w:r>
        <w:rPr>
          <w:rFonts w:hint="eastAsia" w:ascii="宋体" w:hAnsi="宋体"/>
          <w:sz w:val="24"/>
        </w:rPr>
        <w:t>月</w:t>
      </w:r>
      <w:r>
        <w:rPr>
          <w:rFonts w:hint="eastAsia" w:ascii="宋体" w:hAnsi="宋体"/>
          <w:sz w:val="24"/>
          <w:lang w:val="en-US" w:eastAsia="zh-CN"/>
        </w:rPr>
        <w:t>20</w:t>
      </w:r>
      <w:r>
        <w:rPr>
          <w:rFonts w:hint="eastAsia" w:ascii="宋体" w:hAnsi="宋体"/>
          <w:sz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8310A07"/>
    <w:rsid w:val="003C4648"/>
    <w:rsid w:val="00666C92"/>
    <w:rsid w:val="00EB30FD"/>
    <w:rsid w:val="13CE6343"/>
    <w:rsid w:val="141B290C"/>
    <w:rsid w:val="143924F2"/>
    <w:rsid w:val="1468616C"/>
    <w:rsid w:val="15E642A8"/>
    <w:rsid w:val="30A25F7B"/>
    <w:rsid w:val="42CA37E3"/>
    <w:rsid w:val="4702726F"/>
    <w:rsid w:val="48310A07"/>
    <w:rsid w:val="4DC64B62"/>
    <w:rsid w:val="5F7118E7"/>
    <w:rsid w:val="65D43859"/>
    <w:rsid w:val="6B4B769E"/>
    <w:rsid w:val="7AAC5D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after="12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CQ</Company>
  <Pages>1</Pages>
  <Words>421</Words>
  <Characters>456</Characters>
  <Lines>3</Lines>
  <Paragraphs>1</Paragraphs>
  <TotalTime>7</TotalTime>
  <ScaleCrop>false</ScaleCrop>
  <LinksUpToDate>false</LinksUpToDate>
  <CharactersWithSpaces>456</CharactersWithSpaces>
  <Application>WPS Office_12.1.0.22175_F1E327BC-269C-435d-A152-05C5408002CA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2025-07-12T06:30:00Z</dcterms:created>
  <dc:creator>傻小子</dc:creator>
  <cp:lastModifiedBy> </cp:lastModifiedBy>
  <dcterms:modified xsi:type="dcterms:W3CDTF">2026-09-20T01:51:23Z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2052-12.1.0.22175</vt:lpwstr>
  </property>
  <property fmtid="{D5CDD505-2E9C-101B-9397-08002B2CF9AE}" pid="3" name="ICV">
    <vt:lpwstr>A539155821E943A1B2C74BEE3957923C_13</vt:lpwstr>
  </property>
  <property fmtid="{D5CDD505-2E9C-101B-9397-08002B2CF9AE}" pid="4" name="KSOTemplateDocerSaveRecord">
    <vt:lpwstr>eyJoZGlkIjoiMTBmZDRmMzQyOTc1NDBlZGMyNDA3YTlmZWIyYmQzOWIiLCJ1c2VySWQiOiIzNTA5MTM3NTUifQ==</vt:lpwstr>
  </property>
</Properties>
</file>